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8B2D6" w14:textId="318D7CBA" w:rsidR="00D43483" w:rsidRPr="003240CC" w:rsidRDefault="002F2FAC" w:rsidP="0012160B">
      <w:pPr>
        <w:jc w:val="center"/>
        <w:rPr>
          <w:b/>
        </w:rPr>
      </w:pPr>
      <w:bookmarkStart w:id="0" w:name="_GoBack"/>
      <w:bookmarkEnd w:id="0"/>
      <w:r w:rsidRPr="003240CC">
        <w:rPr>
          <w:b/>
        </w:rPr>
        <w:t xml:space="preserve">AVIS </w:t>
      </w:r>
      <w:r w:rsidR="004077D6" w:rsidRPr="003240CC">
        <w:rPr>
          <w:b/>
        </w:rPr>
        <w:t xml:space="preserve">DU </w:t>
      </w:r>
      <w:r w:rsidR="00704A5C">
        <w:rPr>
          <w:b/>
        </w:rPr>
        <w:t>CONSEIL</w:t>
      </w:r>
      <w:r w:rsidR="004077D6" w:rsidRPr="003240CC">
        <w:rPr>
          <w:b/>
        </w:rPr>
        <w:t xml:space="preserve"> </w:t>
      </w:r>
      <w:r w:rsidR="002A474D" w:rsidRPr="003240CC">
        <w:rPr>
          <w:b/>
        </w:rPr>
        <w:t>DE LA CNS</w:t>
      </w:r>
      <w:r w:rsidR="00950D4F" w:rsidRPr="003240CC">
        <w:rPr>
          <w:b/>
        </w:rPr>
        <w:t>A</w:t>
      </w:r>
      <w:r w:rsidR="00CE5AEB" w:rsidRPr="003240CC">
        <w:rPr>
          <w:b/>
        </w:rPr>
        <w:t xml:space="preserve"> RELATIF AU PLFSS</w:t>
      </w:r>
      <w:r w:rsidR="00950D4F" w:rsidRPr="003240CC">
        <w:rPr>
          <w:b/>
        </w:rPr>
        <w:t xml:space="preserve"> POUR </w:t>
      </w:r>
      <w:r w:rsidR="004077D6" w:rsidRPr="003240CC">
        <w:rPr>
          <w:b/>
        </w:rPr>
        <w:t>202</w:t>
      </w:r>
      <w:r w:rsidR="00CC5C5C">
        <w:rPr>
          <w:b/>
        </w:rPr>
        <w:t>4</w:t>
      </w:r>
    </w:p>
    <w:p w14:paraId="657A46CB" w14:textId="77777777" w:rsidR="00A429AD" w:rsidRDefault="00A429AD" w:rsidP="005459FD"/>
    <w:p w14:paraId="18BB5D18" w14:textId="65CF1581" w:rsidR="00F92D35" w:rsidRDefault="00F92D35" w:rsidP="00F92D35">
      <w:r w:rsidRPr="004077D6">
        <w:t xml:space="preserve">Le </w:t>
      </w:r>
      <w:r w:rsidR="00704A5C">
        <w:t>conseil</w:t>
      </w:r>
      <w:r w:rsidRPr="004077D6">
        <w:t xml:space="preserve"> </w:t>
      </w:r>
      <w:r>
        <w:t xml:space="preserve">de la Caisse nationale de solidarité pour l’autonomie a été rendu destinataire pour avis </w:t>
      </w:r>
      <w:r w:rsidR="00CC5C5C">
        <w:t>du</w:t>
      </w:r>
      <w:r>
        <w:t xml:space="preserve"> projet de loi de financement de la sécurité sociale (PLFSS)</w:t>
      </w:r>
      <w:r w:rsidR="00CC5C5C">
        <w:t xml:space="preserve"> pour 2024</w:t>
      </w:r>
      <w:r w:rsidRPr="009D76AD">
        <w:t xml:space="preserve">. Il a examiné ce </w:t>
      </w:r>
      <w:r w:rsidR="006F5442">
        <w:t>texte</w:t>
      </w:r>
      <w:r w:rsidRPr="009D76AD">
        <w:t xml:space="preserve"> dans le cadre </w:t>
      </w:r>
      <w:r w:rsidRPr="003A0A90">
        <w:t>de l’article L. 200-3 du code de la sécurité sociale dans sa version rénovée par la loi du 14 mars</w:t>
      </w:r>
      <w:r>
        <w:t xml:space="preserve"> 2022 relative aux lois de financement de la sécurité</w:t>
      </w:r>
      <w:r w:rsidR="00CC5C5C">
        <w:t xml:space="preserve"> sociale</w:t>
      </w:r>
      <w:r>
        <w:t>.</w:t>
      </w:r>
    </w:p>
    <w:p w14:paraId="66EF1E09" w14:textId="77777777" w:rsidR="00F92D35" w:rsidRDefault="00F92D35" w:rsidP="00F92D35"/>
    <w:p w14:paraId="085F924F" w14:textId="48CBFAB5" w:rsidR="00E92AC7" w:rsidRPr="00E92AC7" w:rsidRDefault="00E92AC7" w:rsidP="00E92AC7">
      <w:r w:rsidRPr="00E92AC7">
        <w:t xml:space="preserve">Eclairé notamment par les débats tenus en séance, </w:t>
      </w:r>
      <w:r w:rsidRPr="00E92AC7">
        <w:rPr>
          <w:b/>
        </w:rPr>
        <w:t xml:space="preserve">le </w:t>
      </w:r>
      <w:r w:rsidR="00704A5C">
        <w:rPr>
          <w:b/>
        </w:rPr>
        <w:t>conseil</w:t>
      </w:r>
      <w:r w:rsidRPr="00E92AC7">
        <w:rPr>
          <w:b/>
        </w:rPr>
        <w:t xml:space="preserve"> a, dans </w:t>
      </w:r>
      <w:r w:rsidRPr="00CA287D">
        <w:rPr>
          <w:b/>
        </w:rPr>
        <w:t xml:space="preserve">sa majorité, </w:t>
      </w:r>
      <w:r w:rsidR="00CA287D" w:rsidRPr="00CA287D">
        <w:rPr>
          <w:b/>
        </w:rPr>
        <w:t>pris acte du PLFSS pour 2024</w:t>
      </w:r>
      <w:r w:rsidRPr="00CA287D">
        <w:rPr>
          <w:b/>
        </w:rPr>
        <w:t>.</w:t>
      </w:r>
      <w:r w:rsidRPr="00E92AC7">
        <w:rPr>
          <w:b/>
        </w:rPr>
        <w:t xml:space="preserve"> </w:t>
      </w:r>
      <w:r w:rsidRPr="00E92AC7">
        <w:t>Les représentants de l’Etat n’ont pas pris part au vote.</w:t>
      </w:r>
    </w:p>
    <w:p w14:paraId="557C9B38" w14:textId="77777777" w:rsidR="00E92AC7" w:rsidRPr="00E92AC7" w:rsidRDefault="00E92AC7" w:rsidP="00E92AC7"/>
    <w:p w14:paraId="285B87DD" w14:textId="77777777" w:rsidR="00E92AC7" w:rsidRPr="00E92AC7" w:rsidRDefault="00E92AC7" w:rsidP="00E92AC7">
      <w:r w:rsidRPr="00E92AC7">
        <w:t xml:space="preserve">Détail des votes : </w:t>
      </w:r>
    </w:p>
    <w:p w14:paraId="5A77FEED" w14:textId="32EFC930" w:rsidR="00E92AC7" w:rsidRPr="00E92AC7" w:rsidRDefault="00E92AC7" w:rsidP="00E92AC7">
      <w:pPr>
        <w:pStyle w:val="Paragraphedeliste"/>
        <w:numPr>
          <w:ilvl w:val="0"/>
          <w:numId w:val="14"/>
        </w:numPr>
        <w:rPr>
          <w:bCs/>
        </w:rPr>
      </w:pPr>
      <w:r w:rsidRPr="00E92AC7">
        <w:rPr>
          <w:bCs/>
        </w:rPr>
        <w:t xml:space="preserve">Prise d’acte : </w:t>
      </w:r>
      <w:r w:rsidR="004F2F32">
        <w:rPr>
          <w:bCs/>
        </w:rPr>
        <w:t>18</w:t>
      </w:r>
      <w:r w:rsidRPr="00E92AC7">
        <w:rPr>
          <w:bCs/>
        </w:rPr>
        <w:t xml:space="preserve"> voix</w:t>
      </w:r>
    </w:p>
    <w:p w14:paraId="487BBB8A" w14:textId="65A5DCBE" w:rsidR="00E92AC7" w:rsidRPr="00E92AC7" w:rsidRDefault="00E92AC7" w:rsidP="00E92AC7">
      <w:pPr>
        <w:pStyle w:val="Paragraphedeliste"/>
        <w:numPr>
          <w:ilvl w:val="0"/>
          <w:numId w:val="14"/>
        </w:numPr>
        <w:rPr>
          <w:bCs/>
        </w:rPr>
      </w:pPr>
      <w:r w:rsidRPr="00E92AC7">
        <w:rPr>
          <w:bCs/>
        </w:rPr>
        <w:t xml:space="preserve">Pour : </w:t>
      </w:r>
      <w:r w:rsidR="004F2F32">
        <w:rPr>
          <w:bCs/>
        </w:rPr>
        <w:t>4</w:t>
      </w:r>
      <w:r w:rsidRPr="00E92AC7">
        <w:rPr>
          <w:bCs/>
        </w:rPr>
        <w:t xml:space="preserve"> voix</w:t>
      </w:r>
    </w:p>
    <w:p w14:paraId="4DD6771F" w14:textId="4AEA4EA7" w:rsidR="00E92AC7" w:rsidRPr="00E92AC7" w:rsidRDefault="00E92AC7" w:rsidP="00E92AC7">
      <w:pPr>
        <w:pStyle w:val="Paragraphedeliste"/>
        <w:numPr>
          <w:ilvl w:val="0"/>
          <w:numId w:val="14"/>
        </w:numPr>
        <w:rPr>
          <w:bCs/>
        </w:rPr>
      </w:pPr>
      <w:r w:rsidRPr="00E92AC7">
        <w:rPr>
          <w:bCs/>
        </w:rPr>
        <w:t xml:space="preserve">Contre : </w:t>
      </w:r>
      <w:r w:rsidR="004F2F32">
        <w:rPr>
          <w:bCs/>
        </w:rPr>
        <w:t>1</w:t>
      </w:r>
      <w:r w:rsidR="00723FBD">
        <w:rPr>
          <w:bCs/>
        </w:rPr>
        <w:t>3</w:t>
      </w:r>
      <w:r w:rsidRPr="00E92AC7">
        <w:rPr>
          <w:bCs/>
        </w:rPr>
        <w:t xml:space="preserve"> voix</w:t>
      </w:r>
    </w:p>
    <w:p w14:paraId="37A4BFDF" w14:textId="2BF03361" w:rsidR="00E92AC7" w:rsidRPr="00E92AC7" w:rsidRDefault="00E92AC7" w:rsidP="00E92AC7">
      <w:pPr>
        <w:pStyle w:val="Paragraphedeliste"/>
        <w:numPr>
          <w:ilvl w:val="0"/>
          <w:numId w:val="14"/>
        </w:numPr>
        <w:rPr>
          <w:bCs/>
        </w:rPr>
      </w:pPr>
      <w:r w:rsidRPr="00E92AC7">
        <w:rPr>
          <w:bCs/>
        </w:rPr>
        <w:t xml:space="preserve">Abstention : </w:t>
      </w:r>
      <w:r w:rsidR="004F2F32">
        <w:rPr>
          <w:bCs/>
        </w:rPr>
        <w:t>6</w:t>
      </w:r>
      <w:r w:rsidRPr="00E92AC7">
        <w:rPr>
          <w:bCs/>
        </w:rPr>
        <w:t xml:space="preserve"> voix</w:t>
      </w:r>
    </w:p>
    <w:p w14:paraId="46619F29" w14:textId="2F7FA9C5" w:rsidR="00E92AC7" w:rsidRPr="00E92AC7" w:rsidRDefault="00E92AC7" w:rsidP="00E92AC7">
      <w:pPr>
        <w:pStyle w:val="Paragraphedeliste"/>
        <w:numPr>
          <w:ilvl w:val="0"/>
          <w:numId w:val="14"/>
        </w:numPr>
        <w:rPr>
          <w:bCs/>
        </w:rPr>
      </w:pPr>
      <w:r w:rsidRPr="00E92AC7">
        <w:rPr>
          <w:bCs/>
        </w:rPr>
        <w:t xml:space="preserve">Ne prend pas part au vote : </w:t>
      </w:r>
      <w:r w:rsidR="004F2F32">
        <w:rPr>
          <w:bCs/>
        </w:rPr>
        <w:t>24</w:t>
      </w:r>
      <w:r w:rsidRPr="00E92AC7">
        <w:rPr>
          <w:bCs/>
        </w:rPr>
        <w:t xml:space="preserve"> voix</w:t>
      </w:r>
    </w:p>
    <w:p w14:paraId="3A174856" w14:textId="2A3EEA07" w:rsidR="003A0A90" w:rsidRDefault="003A0A90" w:rsidP="00F92D35"/>
    <w:p w14:paraId="4AA4DFC4" w14:textId="202DD49E" w:rsidR="003A0A90" w:rsidRDefault="003A0A90" w:rsidP="00F92D35">
      <w:pPr>
        <w:rPr>
          <w:b/>
          <w:u w:val="single"/>
        </w:rPr>
      </w:pPr>
      <w:r w:rsidRPr="0067609D">
        <w:rPr>
          <w:b/>
          <w:u w:val="single"/>
        </w:rPr>
        <w:t>Cet avis a été motivé par les raisons suivantes</w:t>
      </w:r>
      <w:r w:rsidR="00404991" w:rsidRPr="0067609D">
        <w:rPr>
          <w:b/>
          <w:u w:val="single"/>
        </w:rPr>
        <w:t> :</w:t>
      </w:r>
    </w:p>
    <w:p w14:paraId="19427C68" w14:textId="26AB4E71" w:rsidR="00857235" w:rsidRDefault="00857235" w:rsidP="00F92D35">
      <w:pPr>
        <w:rPr>
          <w:b/>
          <w:u w:val="single"/>
        </w:rPr>
      </w:pPr>
    </w:p>
    <w:p w14:paraId="019E5D1B" w14:textId="038DBB4A" w:rsidR="004704DC" w:rsidRPr="00DE7D7B" w:rsidRDefault="00857235" w:rsidP="00F000E5">
      <w:pPr>
        <w:ind w:firstLine="708"/>
        <w:rPr>
          <w:bCs/>
        </w:rPr>
      </w:pPr>
      <w:r>
        <w:rPr>
          <w:bCs/>
        </w:rPr>
        <w:t>C</w:t>
      </w:r>
      <w:r w:rsidR="00A21A61">
        <w:rPr>
          <w:bCs/>
        </w:rPr>
        <w:t xml:space="preserve">e PLFSS </w:t>
      </w:r>
      <w:r>
        <w:rPr>
          <w:bCs/>
        </w:rPr>
        <w:t xml:space="preserve">pour 2024 </w:t>
      </w:r>
      <w:r w:rsidR="00A21A61">
        <w:rPr>
          <w:bCs/>
        </w:rPr>
        <w:t>intervient dans un contexte</w:t>
      </w:r>
      <w:r w:rsidR="00713144">
        <w:rPr>
          <w:bCs/>
        </w:rPr>
        <w:t xml:space="preserve"> porteur à la fois d’opportunités et de risques, avec,</w:t>
      </w:r>
      <w:r>
        <w:rPr>
          <w:bCs/>
        </w:rPr>
        <w:t xml:space="preserve"> </w:t>
      </w:r>
      <w:r w:rsidR="009B6790">
        <w:rPr>
          <w:bCs/>
        </w:rPr>
        <w:t>d’une part, u</w:t>
      </w:r>
      <w:r w:rsidRPr="00644127">
        <w:rPr>
          <w:bCs/>
        </w:rPr>
        <w:t>ne situation difficile pour le secteur de l’</w:t>
      </w:r>
      <w:r w:rsidRPr="00D73A2C">
        <w:rPr>
          <w:bCs/>
        </w:rPr>
        <w:t>autonomie, marqué par un nombre croissant de structures en difficulté</w:t>
      </w:r>
      <w:r w:rsidR="009B6790" w:rsidRPr="00D73A2C">
        <w:rPr>
          <w:bCs/>
        </w:rPr>
        <w:t xml:space="preserve"> en raison </w:t>
      </w:r>
      <w:r w:rsidR="009B6790">
        <w:rPr>
          <w:bCs/>
        </w:rPr>
        <w:t xml:space="preserve">du contexte inflationniste </w:t>
      </w:r>
      <w:r w:rsidR="009B6790" w:rsidRPr="00644127">
        <w:rPr>
          <w:bCs/>
        </w:rPr>
        <w:t xml:space="preserve">et des </w:t>
      </w:r>
      <w:r w:rsidR="009B6790" w:rsidRPr="00D73A2C">
        <w:rPr>
          <w:bCs/>
        </w:rPr>
        <w:t>tensions toujours très présentes sur le recrutement</w:t>
      </w:r>
      <w:r w:rsidR="00554235">
        <w:rPr>
          <w:bCs/>
        </w:rPr>
        <w:t> </w:t>
      </w:r>
      <w:r w:rsidR="00713144">
        <w:rPr>
          <w:bCs/>
        </w:rPr>
        <w:t>et la fidélisation des professionnels de l’accompagnement et du soin</w:t>
      </w:r>
      <w:r w:rsidR="00DC6E9C">
        <w:rPr>
          <w:bCs/>
        </w:rPr>
        <w:t xml:space="preserve"> </w:t>
      </w:r>
      <w:r w:rsidR="00554235">
        <w:rPr>
          <w:bCs/>
        </w:rPr>
        <w:t>; d</w:t>
      </w:r>
      <w:r w:rsidR="009B6790">
        <w:rPr>
          <w:bCs/>
        </w:rPr>
        <w:t xml:space="preserve">’autre part, une hausse marquée des </w:t>
      </w:r>
      <w:r w:rsidR="009B6790" w:rsidRPr="00CA287D">
        <w:rPr>
          <w:bCs/>
        </w:rPr>
        <w:t xml:space="preserve">recettes </w:t>
      </w:r>
      <w:r w:rsidR="00A42449" w:rsidRPr="00CA287D">
        <w:rPr>
          <w:bCs/>
        </w:rPr>
        <w:t xml:space="preserve">de la branche </w:t>
      </w:r>
      <w:r w:rsidR="009B6790">
        <w:rPr>
          <w:bCs/>
        </w:rPr>
        <w:t xml:space="preserve">en raison de la dynamique globale des salaires et de la hausse du montant de la contribution sociale généralisé (CSG) affecté à la branche, produisant une hausse des recettes de </w:t>
      </w:r>
      <w:r w:rsidR="00554235">
        <w:rPr>
          <w:bCs/>
        </w:rPr>
        <w:t>2,6</w:t>
      </w:r>
      <w:r w:rsidR="009B6790">
        <w:rPr>
          <w:bCs/>
        </w:rPr>
        <w:t xml:space="preserve"> Mds€</w:t>
      </w:r>
      <w:r w:rsidR="00713144">
        <w:rPr>
          <w:bCs/>
        </w:rPr>
        <w:t>.</w:t>
      </w:r>
    </w:p>
    <w:p w14:paraId="5E29FDAF" w14:textId="264300A1" w:rsidR="00301C0A" w:rsidRDefault="00301C0A" w:rsidP="009B6790">
      <w:pPr>
        <w:rPr>
          <w:bCs/>
        </w:rPr>
      </w:pPr>
    </w:p>
    <w:p w14:paraId="00B328D6" w14:textId="35DE6AD2" w:rsidR="004704DC" w:rsidRDefault="002B300C" w:rsidP="004704DC">
      <w:pPr>
        <w:ind w:firstLine="708"/>
        <w:rPr>
          <w:bCs/>
        </w:rPr>
      </w:pPr>
      <w:r>
        <w:rPr>
          <w:bCs/>
        </w:rPr>
        <w:t xml:space="preserve">Ces recettes nouvelles </w:t>
      </w:r>
      <w:r w:rsidR="00713144">
        <w:rPr>
          <w:bCs/>
        </w:rPr>
        <w:t>génèrent en 2024 un excédent de la branche évalué à 1,3</w:t>
      </w:r>
      <w:r w:rsidR="00656DF5">
        <w:rPr>
          <w:bCs/>
        </w:rPr>
        <w:t> M</w:t>
      </w:r>
      <w:r w:rsidR="00713144">
        <w:rPr>
          <w:bCs/>
        </w:rPr>
        <w:t>d€</w:t>
      </w:r>
      <w:r w:rsidR="00656DF5">
        <w:rPr>
          <w:bCs/>
        </w:rPr>
        <w:t>, qui</w:t>
      </w:r>
      <w:r w:rsidR="00713144">
        <w:rPr>
          <w:bCs/>
        </w:rPr>
        <w:t xml:space="preserve"> devrait diminuer progressivement pour atteindre 400 M€ en 2027. Elles </w:t>
      </w:r>
      <w:r>
        <w:rPr>
          <w:bCs/>
        </w:rPr>
        <w:t xml:space="preserve">permettent </w:t>
      </w:r>
      <w:r w:rsidR="00713144">
        <w:rPr>
          <w:bCs/>
        </w:rPr>
        <w:t xml:space="preserve">d’ores et déjà </w:t>
      </w:r>
      <w:r>
        <w:rPr>
          <w:bCs/>
        </w:rPr>
        <w:t xml:space="preserve">d’assurer une trajectoire de dépenses en hausse, avec un objectif de dépenses </w:t>
      </w:r>
      <w:r w:rsidR="00B17005">
        <w:rPr>
          <w:bCs/>
        </w:rPr>
        <w:t xml:space="preserve">pour la branche </w:t>
      </w:r>
      <w:r>
        <w:rPr>
          <w:bCs/>
        </w:rPr>
        <w:t>de +</w:t>
      </w:r>
      <w:r w:rsidR="00554235">
        <w:rPr>
          <w:bCs/>
        </w:rPr>
        <w:t>5,2</w:t>
      </w:r>
      <w:r w:rsidR="00B17005">
        <w:rPr>
          <w:bCs/>
        </w:rPr>
        <w:t xml:space="preserve"> </w:t>
      </w:r>
      <w:r>
        <w:rPr>
          <w:bCs/>
        </w:rPr>
        <w:t>%</w:t>
      </w:r>
      <w:r w:rsidR="00554235">
        <w:rPr>
          <w:bCs/>
        </w:rPr>
        <w:t xml:space="preserve"> par rapport à 2023</w:t>
      </w:r>
      <w:r w:rsidR="00B17005">
        <w:rPr>
          <w:bCs/>
        </w:rPr>
        <w:t>,</w:t>
      </w:r>
      <w:r w:rsidR="00554235">
        <w:rPr>
          <w:bCs/>
        </w:rPr>
        <w:t xml:space="preserve"> </w:t>
      </w:r>
      <w:r w:rsidR="00377D9B">
        <w:rPr>
          <w:bCs/>
        </w:rPr>
        <w:t xml:space="preserve">pour atteindre </w:t>
      </w:r>
      <w:r>
        <w:rPr>
          <w:bCs/>
        </w:rPr>
        <w:t>39,9 Mds</w:t>
      </w:r>
      <w:r w:rsidR="00E66A03">
        <w:rPr>
          <w:bCs/>
        </w:rPr>
        <w:t xml:space="preserve"> en 2024</w:t>
      </w:r>
      <w:r w:rsidR="00554235">
        <w:rPr>
          <w:bCs/>
        </w:rPr>
        <w:t>. Ce</w:t>
      </w:r>
      <w:r w:rsidR="00713144">
        <w:rPr>
          <w:bCs/>
        </w:rPr>
        <w:t>tte progression bénéficie en premier lieu au</w:t>
      </w:r>
      <w:r w:rsidR="00554235">
        <w:rPr>
          <w:bCs/>
        </w:rPr>
        <w:t xml:space="preserve"> </w:t>
      </w:r>
      <w:r w:rsidR="00713144">
        <w:rPr>
          <w:bCs/>
        </w:rPr>
        <w:t>financement</w:t>
      </w:r>
      <w:r w:rsidR="00554235">
        <w:rPr>
          <w:bCs/>
        </w:rPr>
        <w:t xml:space="preserve"> des </w:t>
      </w:r>
      <w:r w:rsidR="00713144">
        <w:rPr>
          <w:bCs/>
        </w:rPr>
        <w:t>établissements et services médico-sociaux (</w:t>
      </w:r>
      <w:r w:rsidR="00554235">
        <w:rPr>
          <w:bCs/>
        </w:rPr>
        <w:t>ESMS</w:t>
      </w:r>
      <w:r w:rsidR="00713144">
        <w:rPr>
          <w:bCs/>
        </w:rPr>
        <w:t xml:space="preserve">) qui accompagnent au quotidien </w:t>
      </w:r>
      <w:r w:rsidR="00555075">
        <w:rPr>
          <w:bCs/>
        </w:rPr>
        <w:t>les personnes âgées ou en situation de handicap.</w:t>
      </w:r>
      <w:r w:rsidR="00554235">
        <w:rPr>
          <w:bCs/>
        </w:rPr>
        <w:t xml:space="preserve"> </w:t>
      </w:r>
    </w:p>
    <w:p w14:paraId="45EF0FDE" w14:textId="77777777" w:rsidR="004704DC" w:rsidRDefault="004704DC" w:rsidP="004704DC">
      <w:pPr>
        <w:ind w:firstLine="708"/>
        <w:rPr>
          <w:bCs/>
        </w:rPr>
      </w:pPr>
    </w:p>
    <w:p w14:paraId="5EA0DDB3" w14:textId="7D9D0C30" w:rsidR="0085652B" w:rsidRDefault="00554235" w:rsidP="004704DC">
      <w:pPr>
        <w:ind w:firstLine="708"/>
        <w:rPr>
          <w:bCs/>
        </w:rPr>
      </w:pPr>
      <w:r>
        <w:rPr>
          <w:bCs/>
        </w:rPr>
        <w:t xml:space="preserve">La progression des recettes de la branche permet </w:t>
      </w:r>
      <w:r w:rsidR="00555075">
        <w:rPr>
          <w:bCs/>
        </w:rPr>
        <w:t xml:space="preserve">en effet </w:t>
      </w:r>
      <w:r>
        <w:rPr>
          <w:bCs/>
        </w:rPr>
        <w:t>une hausse des dépenses en direction des ESMS qui incluent</w:t>
      </w:r>
      <w:r w:rsidR="00F000E5">
        <w:rPr>
          <w:bCs/>
        </w:rPr>
        <w:t xml:space="preserve"> </w:t>
      </w:r>
      <w:r w:rsidR="00555075">
        <w:rPr>
          <w:bCs/>
        </w:rPr>
        <w:t>d</w:t>
      </w:r>
      <w:r>
        <w:rPr>
          <w:bCs/>
        </w:rPr>
        <w:t xml:space="preserve">es revalorisations </w:t>
      </w:r>
      <w:r w:rsidR="00836A1A">
        <w:rPr>
          <w:bCs/>
        </w:rPr>
        <w:t>salariales</w:t>
      </w:r>
      <w:r>
        <w:rPr>
          <w:bCs/>
        </w:rPr>
        <w:t xml:space="preserve"> des professionnels</w:t>
      </w:r>
      <w:r w:rsidR="00555075">
        <w:rPr>
          <w:bCs/>
        </w:rPr>
        <w:t>, à hauteur de</w:t>
      </w:r>
      <w:r w:rsidR="00B17005">
        <w:rPr>
          <w:bCs/>
        </w:rPr>
        <w:t xml:space="preserve"> </w:t>
      </w:r>
      <w:r>
        <w:rPr>
          <w:bCs/>
        </w:rPr>
        <w:t>+3,6</w:t>
      </w:r>
      <w:r w:rsidR="00B17005">
        <w:rPr>
          <w:bCs/>
        </w:rPr>
        <w:t xml:space="preserve"> </w:t>
      </w:r>
      <w:r>
        <w:rPr>
          <w:bCs/>
        </w:rPr>
        <w:t xml:space="preserve">Mds depuis 2020 en dépenses cumulées. </w:t>
      </w:r>
      <w:r w:rsidR="002B300C">
        <w:rPr>
          <w:bCs/>
        </w:rPr>
        <w:t xml:space="preserve">Parmi ces dépenses, les </w:t>
      </w:r>
      <w:r w:rsidR="002B300C" w:rsidRPr="00DE7D7B">
        <w:rPr>
          <w:bCs/>
        </w:rPr>
        <w:t xml:space="preserve">mesures de revalorisation des salaires des agents publics annoncées en juin </w:t>
      </w:r>
      <w:r>
        <w:rPr>
          <w:bCs/>
        </w:rPr>
        <w:t>2023</w:t>
      </w:r>
      <w:r w:rsidR="002B300C" w:rsidRPr="00DE7D7B">
        <w:rPr>
          <w:bCs/>
        </w:rPr>
        <w:t xml:space="preserve"> et celles décidées en septembre </w:t>
      </w:r>
      <w:r>
        <w:rPr>
          <w:bCs/>
        </w:rPr>
        <w:t xml:space="preserve">de la même année </w:t>
      </w:r>
      <w:r w:rsidR="002B300C" w:rsidRPr="00DE7D7B">
        <w:rPr>
          <w:bCs/>
        </w:rPr>
        <w:t>pour les personnels non médicaux des EHPAD publics travaillant de nuit et le week-en</w:t>
      </w:r>
      <w:r w:rsidR="002B300C">
        <w:rPr>
          <w:bCs/>
        </w:rPr>
        <w:t>d</w:t>
      </w:r>
      <w:r w:rsidR="004704DC">
        <w:rPr>
          <w:bCs/>
        </w:rPr>
        <w:t xml:space="preserve"> </w:t>
      </w:r>
      <w:r w:rsidR="002B300C">
        <w:rPr>
          <w:bCs/>
        </w:rPr>
        <w:t>sont accueilli</w:t>
      </w:r>
      <w:r w:rsidR="004704DC">
        <w:rPr>
          <w:bCs/>
        </w:rPr>
        <w:t>e</w:t>
      </w:r>
      <w:r w:rsidR="00555075">
        <w:rPr>
          <w:bCs/>
        </w:rPr>
        <w:t>s</w:t>
      </w:r>
      <w:r w:rsidR="002B300C">
        <w:rPr>
          <w:bCs/>
        </w:rPr>
        <w:t xml:space="preserve"> positivement. </w:t>
      </w:r>
      <w:r w:rsidR="004704DC" w:rsidRPr="00F000E5">
        <w:rPr>
          <w:bCs/>
        </w:rPr>
        <w:t>Toutefois</w:t>
      </w:r>
      <w:r w:rsidR="00786806">
        <w:rPr>
          <w:bCs/>
        </w:rPr>
        <w:t>,</w:t>
      </w:r>
      <w:r w:rsidR="004704DC" w:rsidRPr="00F000E5">
        <w:rPr>
          <w:bCs/>
        </w:rPr>
        <w:t xml:space="preserve"> les membres du conseil regrettent </w:t>
      </w:r>
      <w:r w:rsidR="002B300C" w:rsidRPr="00F000E5">
        <w:rPr>
          <w:bCs/>
        </w:rPr>
        <w:t>l’écart de traitement qu’elles produisent pour les professionnels du secteur privé et demandent à ce que ces nouvelles mesures d’attractivité soient étendues aux professionnels non médicaux des établissements privés.</w:t>
      </w:r>
    </w:p>
    <w:p w14:paraId="1EA0FD50" w14:textId="1107ADEB" w:rsidR="002B300C" w:rsidRPr="00CA287D" w:rsidRDefault="00BB706C" w:rsidP="00786806">
      <w:pPr>
        <w:ind w:firstLine="708"/>
        <w:rPr>
          <w:bCs/>
        </w:rPr>
      </w:pPr>
      <w:r w:rsidRPr="00786806">
        <w:rPr>
          <w:bCs/>
        </w:rPr>
        <w:t xml:space="preserve">Par ailleurs, dans le cadre des travaux portant sur la convention collective unique de la branche de l’action sanitaire, sociale et médico-sociale à but non lucrative, </w:t>
      </w:r>
      <w:r w:rsidR="0085652B" w:rsidRPr="00786806">
        <w:rPr>
          <w:bCs/>
        </w:rPr>
        <w:t xml:space="preserve">un </w:t>
      </w:r>
      <w:r w:rsidR="00BE2006" w:rsidRPr="00786806">
        <w:rPr>
          <w:bCs/>
        </w:rPr>
        <w:t>projet d’</w:t>
      </w:r>
      <w:r w:rsidR="0085652B" w:rsidRPr="00786806">
        <w:rPr>
          <w:bCs/>
        </w:rPr>
        <w:t xml:space="preserve">accord </w:t>
      </w:r>
      <w:r w:rsidR="00BE2006" w:rsidRPr="00786806">
        <w:rPr>
          <w:bCs/>
        </w:rPr>
        <w:t xml:space="preserve">a été soumis à signature </w:t>
      </w:r>
      <w:r w:rsidR="0085652B" w:rsidRPr="00786806">
        <w:rPr>
          <w:bCs/>
        </w:rPr>
        <w:t>pour garantir un salaire conventionnel minimum à hauteur du SMIC + 238 €. Or, l</w:t>
      </w:r>
      <w:r w:rsidRPr="00786806">
        <w:rPr>
          <w:bCs/>
        </w:rPr>
        <w:t>es membres du conseil s’interrogent sur l’absence de financement pour</w:t>
      </w:r>
      <w:r w:rsidR="00CA287D" w:rsidRPr="00786806">
        <w:rPr>
          <w:bCs/>
        </w:rPr>
        <w:t>,</w:t>
      </w:r>
      <w:r w:rsidRPr="00786806">
        <w:rPr>
          <w:bCs/>
        </w:rPr>
        <w:t xml:space="preserve"> </w:t>
      </w:r>
      <w:r w:rsidR="00CA287D" w:rsidRPr="00786806">
        <w:rPr>
          <w:bCs/>
        </w:rPr>
        <w:t xml:space="preserve">le cas échéant, </w:t>
      </w:r>
      <w:r w:rsidR="0085652B" w:rsidRPr="00786806">
        <w:rPr>
          <w:bCs/>
        </w:rPr>
        <w:t>mettre en œuvre cet accord</w:t>
      </w:r>
      <w:r w:rsidR="00CA287D" w:rsidRPr="00786806">
        <w:rPr>
          <w:bCs/>
        </w:rPr>
        <w:t xml:space="preserve"> </w:t>
      </w:r>
      <w:r w:rsidR="0085652B" w:rsidRPr="00786806">
        <w:rPr>
          <w:bCs/>
        </w:rPr>
        <w:t>dont l’application est</w:t>
      </w:r>
      <w:r w:rsidRPr="00786806">
        <w:rPr>
          <w:bCs/>
        </w:rPr>
        <w:t xml:space="preserve"> </w:t>
      </w:r>
      <w:r w:rsidR="00CA287D" w:rsidRPr="00786806">
        <w:rPr>
          <w:bCs/>
        </w:rPr>
        <w:t>attendue</w:t>
      </w:r>
      <w:r w:rsidRPr="00786806">
        <w:rPr>
          <w:bCs/>
        </w:rPr>
        <w:t xml:space="preserve"> dans les meilleurs délais</w:t>
      </w:r>
      <w:r w:rsidR="0085652B" w:rsidRPr="00786806">
        <w:rPr>
          <w:bCs/>
        </w:rPr>
        <w:t xml:space="preserve">. Ils </w:t>
      </w:r>
      <w:r w:rsidRPr="00786806">
        <w:rPr>
          <w:bCs/>
        </w:rPr>
        <w:t xml:space="preserve">demandent </w:t>
      </w:r>
      <w:r w:rsidR="0085652B" w:rsidRPr="00786806">
        <w:rPr>
          <w:bCs/>
        </w:rPr>
        <w:t xml:space="preserve">donc </w:t>
      </w:r>
      <w:r w:rsidRPr="00786806">
        <w:rPr>
          <w:bCs/>
        </w:rPr>
        <w:t>à ce que le gouvernement puisse clarifier ce point lors des débats parlementaires.</w:t>
      </w:r>
      <w:r w:rsidRPr="00CA287D">
        <w:rPr>
          <w:bCs/>
        </w:rPr>
        <w:t xml:space="preserve"> </w:t>
      </w:r>
    </w:p>
    <w:p w14:paraId="68A79646" w14:textId="77777777" w:rsidR="004704DC" w:rsidRDefault="004704DC" w:rsidP="00644127">
      <w:pPr>
        <w:ind w:firstLine="708"/>
        <w:rPr>
          <w:bCs/>
        </w:rPr>
      </w:pPr>
    </w:p>
    <w:p w14:paraId="4C627B83" w14:textId="5E2614CE" w:rsidR="002B300C" w:rsidRDefault="004704DC" w:rsidP="00D73A2C">
      <w:pPr>
        <w:ind w:firstLine="708"/>
        <w:rPr>
          <w:bCs/>
        </w:rPr>
      </w:pPr>
      <w:r w:rsidRPr="00DE7D7B">
        <w:rPr>
          <w:bCs/>
        </w:rPr>
        <w:t xml:space="preserve">Pour le champ du handicap, les membres du conseil constatent un OGD à hauteur de 15,2 Md€, en augmentation de 3,4 %, et la mise en œuvre de mesures nouvelles </w:t>
      </w:r>
      <w:r w:rsidRPr="00DE7D7B">
        <w:rPr>
          <w:bCs/>
        </w:rPr>
        <w:lastRenderedPageBreak/>
        <w:t xml:space="preserve">auxquelles ils apportent leur soutien. </w:t>
      </w:r>
      <w:r>
        <w:rPr>
          <w:bCs/>
        </w:rPr>
        <w:t>C’est le cas en particulier de</w:t>
      </w:r>
      <w:r w:rsidRPr="00DE7D7B">
        <w:rPr>
          <w:bCs/>
        </w:rPr>
        <w:t xml:space="preserve"> la création d’un service de repérage, de diagnostic et d’accompagnement précoce des enfants de 0 à 6 ans pour toutes les situations de handicap</w:t>
      </w:r>
      <w:r>
        <w:rPr>
          <w:bCs/>
        </w:rPr>
        <w:t xml:space="preserve">, </w:t>
      </w:r>
      <w:r w:rsidR="00555075">
        <w:rPr>
          <w:bCs/>
        </w:rPr>
        <w:t xml:space="preserve">répondant aux attentes du </w:t>
      </w:r>
      <w:r>
        <w:rPr>
          <w:bCs/>
        </w:rPr>
        <w:t xml:space="preserve">conseil </w:t>
      </w:r>
      <w:r w:rsidR="00555075">
        <w:rPr>
          <w:bCs/>
        </w:rPr>
        <w:t>formulé</w:t>
      </w:r>
      <w:r w:rsidR="00B17005">
        <w:rPr>
          <w:bCs/>
        </w:rPr>
        <w:t>es</w:t>
      </w:r>
      <w:r w:rsidR="00555075">
        <w:rPr>
          <w:bCs/>
        </w:rPr>
        <w:t xml:space="preserve"> </w:t>
      </w:r>
      <w:r>
        <w:rPr>
          <w:bCs/>
        </w:rPr>
        <w:t>dans sa motion sur la CNH</w:t>
      </w:r>
      <w:r w:rsidR="00555075">
        <w:rPr>
          <w:bCs/>
        </w:rPr>
        <w:t xml:space="preserve"> 2023</w:t>
      </w:r>
      <w:r>
        <w:rPr>
          <w:bCs/>
        </w:rPr>
        <w:t xml:space="preserve">. </w:t>
      </w:r>
      <w:r w:rsidR="00554235">
        <w:rPr>
          <w:bCs/>
        </w:rPr>
        <w:t>C’est aussi le cas des 1,5</w:t>
      </w:r>
      <w:r w:rsidR="00B17005">
        <w:rPr>
          <w:bCs/>
        </w:rPr>
        <w:t xml:space="preserve"> </w:t>
      </w:r>
      <w:r w:rsidR="00554235">
        <w:rPr>
          <w:bCs/>
        </w:rPr>
        <w:t>Md</w:t>
      </w:r>
      <w:r w:rsidR="00987AD6">
        <w:rPr>
          <w:bCs/>
        </w:rPr>
        <w:t>s</w:t>
      </w:r>
      <w:r w:rsidR="00554235">
        <w:rPr>
          <w:bCs/>
        </w:rPr>
        <w:t>€ supplémentaire</w:t>
      </w:r>
      <w:r w:rsidR="001979BD">
        <w:rPr>
          <w:bCs/>
        </w:rPr>
        <w:t>s</w:t>
      </w:r>
      <w:r w:rsidR="00554235">
        <w:rPr>
          <w:bCs/>
        </w:rPr>
        <w:t xml:space="preserve"> d’ici 2030 qui seront consacrés</w:t>
      </w:r>
      <w:r w:rsidRPr="00DE7D7B">
        <w:rPr>
          <w:bCs/>
        </w:rPr>
        <w:t xml:space="preserve"> au déploiement de </w:t>
      </w:r>
      <w:r w:rsidR="00554235">
        <w:rPr>
          <w:bCs/>
        </w:rPr>
        <w:t xml:space="preserve">prises en charge adaptées aux besoins </w:t>
      </w:r>
      <w:r w:rsidRPr="00DE7D7B">
        <w:rPr>
          <w:bCs/>
        </w:rPr>
        <w:t>à horizon 20</w:t>
      </w:r>
      <w:r w:rsidR="00554235">
        <w:rPr>
          <w:bCs/>
        </w:rPr>
        <w:t>30</w:t>
      </w:r>
      <w:r>
        <w:rPr>
          <w:bCs/>
        </w:rPr>
        <w:t xml:space="preserve"> </w:t>
      </w:r>
      <w:r w:rsidR="00554235">
        <w:rPr>
          <w:bCs/>
        </w:rPr>
        <w:t>pour les adultes et les enfants en situation de handicap</w:t>
      </w:r>
      <w:r w:rsidR="00836A1A">
        <w:rPr>
          <w:bCs/>
        </w:rPr>
        <w:t>, avec un accent fort mis sur l’école inclusi</w:t>
      </w:r>
      <w:r w:rsidR="00B17005">
        <w:rPr>
          <w:bCs/>
        </w:rPr>
        <w:t>v</w:t>
      </w:r>
      <w:r w:rsidR="00836A1A">
        <w:rPr>
          <w:bCs/>
        </w:rPr>
        <w:t>e conformément aux décisions prises en CNH</w:t>
      </w:r>
      <w:r w:rsidR="00554235">
        <w:rPr>
          <w:bCs/>
        </w:rPr>
        <w:t xml:space="preserve">. Néanmoins, les membres du conseil </w:t>
      </w:r>
      <w:r w:rsidR="00555075">
        <w:rPr>
          <w:bCs/>
        </w:rPr>
        <w:t>alertent sur l’</w:t>
      </w:r>
      <w:r w:rsidR="00554235">
        <w:rPr>
          <w:bCs/>
        </w:rPr>
        <w:t>écart</w:t>
      </w:r>
      <w:r w:rsidR="00555075">
        <w:rPr>
          <w:bCs/>
        </w:rPr>
        <w:t xml:space="preserve"> persistant</w:t>
      </w:r>
      <w:r w:rsidR="00554235">
        <w:rPr>
          <w:bCs/>
        </w:rPr>
        <w:t xml:space="preserve"> entre ces chiffres et les besoins des personnes qui sont bien plus importants</w:t>
      </w:r>
      <w:r w:rsidR="00836A1A">
        <w:rPr>
          <w:bCs/>
        </w:rPr>
        <w:t xml:space="preserve"> et non satisfaits</w:t>
      </w:r>
      <w:r>
        <w:rPr>
          <w:bCs/>
        </w:rPr>
        <w:t>.</w:t>
      </w:r>
      <w:r w:rsidR="00E66A03">
        <w:rPr>
          <w:bCs/>
        </w:rPr>
        <w:t xml:space="preserve"> </w:t>
      </w:r>
      <w:r w:rsidR="004D5730">
        <w:rPr>
          <w:bCs/>
        </w:rPr>
        <w:t>Ils</w:t>
      </w:r>
      <w:r w:rsidRPr="00DE7D7B">
        <w:rPr>
          <w:bCs/>
        </w:rPr>
        <w:t xml:space="preserve"> seront attentifs à la déclinaison territoriale de cette mesure et à l’effectivité de la réponse apportée aux personnes actuellement sans solution.</w:t>
      </w:r>
    </w:p>
    <w:p w14:paraId="364D0082" w14:textId="062ECE04" w:rsidR="00E66A03" w:rsidRDefault="00E66A03" w:rsidP="009B6790">
      <w:pPr>
        <w:rPr>
          <w:bCs/>
        </w:rPr>
      </w:pPr>
    </w:p>
    <w:p w14:paraId="7FF4EE24" w14:textId="6CAEAF24" w:rsidR="00E66A03" w:rsidRDefault="00E66A03" w:rsidP="00E66A03">
      <w:pPr>
        <w:ind w:firstLine="708"/>
        <w:rPr>
          <w:bCs/>
        </w:rPr>
      </w:pPr>
      <w:r>
        <w:rPr>
          <w:bCs/>
        </w:rPr>
        <w:t>Pour le champ de l’âge, l</w:t>
      </w:r>
      <w:r w:rsidRPr="00DE7D7B">
        <w:rPr>
          <w:bCs/>
        </w:rPr>
        <w:t>a croissance de 4,6 % de l’</w:t>
      </w:r>
      <w:r w:rsidR="001979BD">
        <w:rPr>
          <w:bCs/>
        </w:rPr>
        <w:t>OGD</w:t>
      </w:r>
      <w:r w:rsidRPr="00DE7D7B">
        <w:rPr>
          <w:bCs/>
        </w:rPr>
        <w:t xml:space="preserve">, qui atteindra 16,3 Mds d’euros, </w:t>
      </w:r>
      <w:r>
        <w:rPr>
          <w:bCs/>
        </w:rPr>
        <w:t>est</w:t>
      </w:r>
      <w:r w:rsidRPr="00DE7D7B">
        <w:rPr>
          <w:bCs/>
        </w:rPr>
        <w:t xml:space="preserve"> portée par la montée en charge de mesures qui ont précédemment été votées, telles que la mise en</w:t>
      </w:r>
      <w:r>
        <w:rPr>
          <w:bCs/>
        </w:rPr>
        <w:t xml:space="preserve"> œuvre de la réforme de la tarification et la création de nouvelles places de SSIAD pour atteindre l’objectif de </w:t>
      </w:r>
      <w:r w:rsidR="00555075">
        <w:rPr>
          <w:bCs/>
        </w:rPr>
        <w:t>+</w:t>
      </w:r>
      <w:r>
        <w:rPr>
          <w:bCs/>
        </w:rPr>
        <w:t>25 000 en 20</w:t>
      </w:r>
      <w:r w:rsidR="00B17005">
        <w:rPr>
          <w:bCs/>
        </w:rPr>
        <w:t>30</w:t>
      </w:r>
      <w:r>
        <w:rPr>
          <w:bCs/>
        </w:rPr>
        <w:t xml:space="preserve">, l’accompagnement des missions de centre de ressource territorial </w:t>
      </w:r>
      <w:r w:rsidR="00A42449">
        <w:rPr>
          <w:bCs/>
        </w:rPr>
        <w:t xml:space="preserve">portées par les </w:t>
      </w:r>
      <w:r>
        <w:rPr>
          <w:bCs/>
        </w:rPr>
        <w:t>EHPAD</w:t>
      </w:r>
      <w:r w:rsidR="006B4616">
        <w:rPr>
          <w:bCs/>
        </w:rPr>
        <w:t xml:space="preserve"> </w:t>
      </w:r>
      <w:r w:rsidR="006B4616" w:rsidRPr="00CA287D">
        <w:rPr>
          <w:bCs/>
        </w:rPr>
        <w:t xml:space="preserve">ou </w:t>
      </w:r>
      <w:r w:rsidR="00A42449" w:rsidRPr="00CA287D">
        <w:rPr>
          <w:bCs/>
        </w:rPr>
        <w:t>l</w:t>
      </w:r>
      <w:r w:rsidR="006B4616" w:rsidRPr="00CA287D">
        <w:rPr>
          <w:bCs/>
        </w:rPr>
        <w:t>es services à domicile</w:t>
      </w:r>
      <w:r w:rsidR="00B430CD">
        <w:rPr>
          <w:bCs/>
        </w:rPr>
        <w:t>,</w:t>
      </w:r>
      <w:r w:rsidRPr="00CA287D">
        <w:rPr>
          <w:bCs/>
        </w:rPr>
        <w:t xml:space="preserve"> et</w:t>
      </w:r>
      <w:r w:rsidRPr="00704A5C">
        <w:rPr>
          <w:bCs/>
        </w:rPr>
        <w:t xml:space="preserve"> </w:t>
      </w:r>
      <w:r>
        <w:rPr>
          <w:bCs/>
        </w:rPr>
        <w:t>le renforcement du personnel dans ces établissements pour atteindre 50 000 soignants supplémentaires d’ici à 20</w:t>
      </w:r>
      <w:r w:rsidR="00B17005">
        <w:rPr>
          <w:bCs/>
        </w:rPr>
        <w:t>30</w:t>
      </w:r>
      <w:r w:rsidR="00554235">
        <w:rPr>
          <w:bCs/>
        </w:rPr>
        <w:t xml:space="preserve"> (+6000 en 2024)</w:t>
      </w:r>
      <w:r>
        <w:rPr>
          <w:bCs/>
        </w:rPr>
        <w:t xml:space="preserve">. Concernant cette dernière mesure, les membres du conseil </w:t>
      </w:r>
      <w:r w:rsidRPr="00CA287D">
        <w:rPr>
          <w:bCs/>
        </w:rPr>
        <w:t>souhaitent</w:t>
      </w:r>
      <w:r w:rsidR="00126D63" w:rsidRPr="00CA287D">
        <w:rPr>
          <w:bCs/>
        </w:rPr>
        <w:t xml:space="preserve"> que cet objectif soit tenu</w:t>
      </w:r>
      <w:r w:rsidR="00347209" w:rsidRPr="00CA287D">
        <w:rPr>
          <w:bCs/>
        </w:rPr>
        <w:t xml:space="preserve"> pour 2027</w:t>
      </w:r>
      <w:r w:rsidR="00126D63" w:rsidRPr="00CA287D">
        <w:rPr>
          <w:bCs/>
        </w:rPr>
        <w:t xml:space="preserve"> en lui affectant un montant de 600 M€ par an et</w:t>
      </w:r>
      <w:r w:rsidR="00126D63" w:rsidRPr="007C10E3">
        <w:rPr>
          <w:bCs/>
          <w:i/>
        </w:rPr>
        <w:t xml:space="preserve"> </w:t>
      </w:r>
      <w:r>
        <w:rPr>
          <w:bCs/>
        </w:rPr>
        <w:t>qu’un bilan des créations de postes puisse</w:t>
      </w:r>
      <w:r w:rsidR="009925FA">
        <w:rPr>
          <w:bCs/>
        </w:rPr>
        <w:t xml:space="preserve"> </w:t>
      </w:r>
      <w:r>
        <w:rPr>
          <w:bCs/>
        </w:rPr>
        <w:t xml:space="preserve">être effectué chaque année pour en mesurer l’impact. </w:t>
      </w:r>
    </w:p>
    <w:p w14:paraId="55C5DAE3" w14:textId="226B2C1B" w:rsidR="00E66A03" w:rsidRDefault="00E66A03" w:rsidP="00E66A03">
      <w:pPr>
        <w:ind w:firstLine="708"/>
        <w:rPr>
          <w:bCs/>
        </w:rPr>
      </w:pPr>
    </w:p>
    <w:p w14:paraId="0487C208" w14:textId="7C5C7C8D" w:rsidR="00E66A03" w:rsidRPr="00CA287D" w:rsidRDefault="00554235" w:rsidP="00E66A03">
      <w:pPr>
        <w:ind w:firstLine="708"/>
        <w:rPr>
          <w:bCs/>
        </w:rPr>
      </w:pPr>
      <w:r>
        <w:rPr>
          <w:bCs/>
        </w:rPr>
        <w:t xml:space="preserve">Concernant </w:t>
      </w:r>
      <w:r w:rsidR="00D60ABE">
        <w:rPr>
          <w:bCs/>
        </w:rPr>
        <w:t>les services d’aides et d’accompagnement à domicile</w:t>
      </w:r>
      <w:r w:rsidR="00E66A03">
        <w:rPr>
          <w:bCs/>
        </w:rPr>
        <w:t xml:space="preserve">, ils notent également la montée en charge de plusieurs mesures votées en LFSS pour 2022 et 2023 pour </w:t>
      </w:r>
      <w:r w:rsidR="00D60ABE">
        <w:rPr>
          <w:bCs/>
        </w:rPr>
        <w:t>conforter leur équilibre économique et renforcer leur capacité d’appui des personnes les plus fragiles</w:t>
      </w:r>
      <w:r w:rsidR="00E66A03">
        <w:rPr>
          <w:bCs/>
        </w:rPr>
        <w:t xml:space="preserve">, telles que </w:t>
      </w:r>
      <w:r w:rsidR="00D60ABE">
        <w:rPr>
          <w:bCs/>
        </w:rPr>
        <w:t>la mise en place</w:t>
      </w:r>
      <w:r w:rsidR="00E66A03">
        <w:rPr>
          <w:bCs/>
        </w:rPr>
        <w:t xml:space="preserve"> d</w:t>
      </w:r>
      <w:r w:rsidR="00D60ABE">
        <w:rPr>
          <w:bCs/>
        </w:rPr>
        <w:t>’</w:t>
      </w:r>
      <w:r w:rsidR="00E66A03">
        <w:rPr>
          <w:bCs/>
        </w:rPr>
        <w:t>u</w:t>
      </w:r>
      <w:r w:rsidR="00D60ABE">
        <w:rPr>
          <w:bCs/>
        </w:rPr>
        <w:t>n</w:t>
      </w:r>
      <w:r w:rsidR="00E66A03">
        <w:rPr>
          <w:bCs/>
        </w:rPr>
        <w:t xml:space="preserve"> tarif plancher</w:t>
      </w:r>
      <w:r w:rsidR="00D60ABE">
        <w:rPr>
          <w:bCs/>
        </w:rPr>
        <w:t xml:space="preserve"> national</w:t>
      </w:r>
      <w:r w:rsidR="00E66A03">
        <w:rPr>
          <w:bCs/>
        </w:rPr>
        <w:t xml:space="preserve"> </w:t>
      </w:r>
      <w:r>
        <w:rPr>
          <w:bCs/>
        </w:rPr>
        <w:t xml:space="preserve">pour les SAAD </w:t>
      </w:r>
      <w:r w:rsidR="00E66A03">
        <w:rPr>
          <w:bCs/>
        </w:rPr>
        <w:t xml:space="preserve">et son indexation sur l’inflation, la </w:t>
      </w:r>
      <w:r w:rsidR="00D60ABE">
        <w:rPr>
          <w:bCs/>
        </w:rPr>
        <w:t xml:space="preserve">création d’une </w:t>
      </w:r>
      <w:r w:rsidR="00E66A03">
        <w:rPr>
          <w:bCs/>
        </w:rPr>
        <w:t xml:space="preserve">dotation </w:t>
      </w:r>
      <w:r>
        <w:rPr>
          <w:bCs/>
        </w:rPr>
        <w:t>complémentaire</w:t>
      </w:r>
      <w:r w:rsidR="00E66A03">
        <w:rPr>
          <w:bCs/>
        </w:rPr>
        <w:t xml:space="preserve">, </w:t>
      </w:r>
      <w:r w:rsidR="00D60ABE">
        <w:rPr>
          <w:bCs/>
        </w:rPr>
        <w:t>ou le financement de</w:t>
      </w:r>
      <w:r w:rsidR="00E66A03">
        <w:rPr>
          <w:bCs/>
        </w:rPr>
        <w:t xml:space="preserve"> deux heures de lien social pour les bénéficiaires de l’APA</w:t>
      </w:r>
      <w:r w:rsidR="009A06E9" w:rsidRPr="009A06E9">
        <w:rPr>
          <w:bCs/>
        </w:rPr>
        <w:t xml:space="preserve">. </w:t>
      </w:r>
      <w:r w:rsidR="00D46A52" w:rsidRPr="00CA287D">
        <w:rPr>
          <w:bCs/>
        </w:rPr>
        <w:t>Afin de réussir le virage inclusif, l</w:t>
      </w:r>
      <w:r w:rsidR="007E2C4A" w:rsidRPr="00CA287D">
        <w:rPr>
          <w:bCs/>
        </w:rPr>
        <w:t xml:space="preserve">es acteurs du handicap souhaitent également rappeler la nécessité de bien penser l’ensemble des mesures concernant le domicile pour </w:t>
      </w:r>
      <w:r w:rsidR="00D46A52" w:rsidRPr="00CA287D">
        <w:rPr>
          <w:bCs/>
        </w:rPr>
        <w:t xml:space="preserve">les personnes en situation de handicap et non exclusivement pour les personnes âgées. </w:t>
      </w:r>
    </w:p>
    <w:p w14:paraId="4CA218AA" w14:textId="2FFCCFA2" w:rsidR="00E66A03" w:rsidRDefault="00E66A03" w:rsidP="009B6790">
      <w:pPr>
        <w:rPr>
          <w:bCs/>
        </w:rPr>
      </w:pPr>
    </w:p>
    <w:p w14:paraId="542046BD" w14:textId="7397455D" w:rsidR="00606CB1" w:rsidRDefault="002B300C" w:rsidP="00E66A03">
      <w:pPr>
        <w:ind w:firstLine="708"/>
      </w:pPr>
      <w:r>
        <w:rPr>
          <w:bCs/>
        </w:rPr>
        <w:t xml:space="preserve">Toutefois, </w:t>
      </w:r>
      <w:r w:rsidR="00E66A03">
        <w:rPr>
          <w:bCs/>
        </w:rPr>
        <w:t xml:space="preserve">les membres du conseil </w:t>
      </w:r>
      <w:r w:rsidR="00D60ABE">
        <w:rPr>
          <w:bCs/>
        </w:rPr>
        <w:t xml:space="preserve">estiment que </w:t>
      </w:r>
      <w:r w:rsidR="00786806">
        <w:rPr>
          <w:bCs/>
        </w:rPr>
        <w:t>l</w:t>
      </w:r>
      <w:r w:rsidR="00D60ABE">
        <w:rPr>
          <w:bCs/>
        </w:rPr>
        <w:t>es mesures</w:t>
      </w:r>
      <w:r w:rsidR="00786806">
        <w:rPr>
          <w:bCs/>
        </w:rPr>
        <w:t xml:space="preserve"> du PLFSS 2024</w:t>
      </w:r>
      <w:r w:rsidR="00D60ABE">
        <w:rPr>
          <w:bCs/>
        </w:rPr>
        <w:t xml:space="preserve">, pour structurantes qu’elles soient, ne </w:t>
      </w:r>
      <w:r w:rsidR="004935A7">
        <w:rPr>
          <w:bCs/>
        </w:rPr>
        <w:t>peuvent</w:t>
      </w:r>
      <w:r w:rsidR="00D60ABE">
        <w:rPr>
          <w:bCs/>
        </w:rPr>
        <w:t xml:space="preserve">, </w:t>
      </w:r>
      <w:r w:rsidR="00ED17A7">
        <w:rPr>
          <w:bCs/>
        </w:rPr>
        <w:t>à elles-seules</w:t>
      </w:r>
      <w:r w:rsidR="00D60ABE">
        <w:rPr>
          <w:bCs/>
        </w:rPr>
        <w:t>, garantir</w:t>
      </w:r>
      <w:r w:rsidR="009925FA">
        <w:rPr>
          <w:bCs/>
        </w:rPr>
        <w:t xml:space="preserve"> </w:t>
      </w:r>
      <w:r w:rsidR="00606CB1">
        <w:rPr>
          <w:bCs/>
        </w:rPr>
        <w:t>aux français</w:t>
      </w:r>
      <w:r w:rsidR="00D60ABE">
        <w:rPr>
          <w:bCs/>
        </w:rPr>
        <w:t xml:space="preserve"> la capacité</w:t>
      </w:r>
      <w:r w:rsidR="00606CB1">
        <w:rPr>
          <w:bCs/>
        </w:rPr>
        <w:t xml:space="preserve"> de v</w:t>
      </w:r>
      <w:r w:rsidR="00ED17A7">
        <w:rPr>
          <w:bCs/>
        </w:rPr>
        <w:t>ieillir</w:t>
      </w:r>
      <w:r w:rsidR="00606CB1">
        <w:rPr>
          <w:bCs/>
        </w:rPr>
        <w:t xml:space="preserve"> chez eux</w:t>
      </w:r>
      <w:r w:rsidR="00ED17A7">
        <w:rPr>
          <w:bCs/>
        </w:rPr>
        <w:t>,</w:t>
      </w:r>
      <w:r w:rsidR="00606CB1">
        <w:rPr>
          <w:bCs/>
        </w:rPr>
        <w:t xml:space="preserve"> </w:t>
      </w:r>
      <w:r w:rsidR="009925FA">
        <w:rPr>
          <w:bCs/>
        </w:rPr>
        <w:t xml:space="preserve">à domicile, en habitat intermédiaire ou en établissement </w:t>
      </w:r>
      <w:r w:rsidR="00606CB1">
        <w:rPr>
          <w:bCs/>
        </w:rPr>
        <w:t>en étant soutenu dans leur autonomie</w:t>
      </w:r>
      <w:r w:rsidR="00ED17A7">
        <w:rPr>
          <w:bCs/>
        </w:rPr>
        <w:t xml:space="preserve"> au juste niveau</w:t>
      </w:r>
      <w:r w:rsidR="00606CB1" w:rsidRPr="0007709F">
        <w:rPr>
          <w:bCs/>
        </w:rPr>
        <w:t xml:space="preserve">. </w:t>
      </w:r>
      <w:r w:rsidR="009A2E28" w:rsidRPr="00CA287D">
        <w:t>L’absence de mesures nouvelles sur le domicile en particulier soulève une très forte incompréhension des membres du conseil au regard de l’objectif de promotion de l’approche domiciliaire</w:t>
      </w:r>
      <w:r w:rsidR="00347209" w:rsidRPr="00CA287D">
        <w:t xml:space="preserve"> et d’aide aux aidants</w:t>
      </w:r>
      <w:r w:rsidR="009A2E28" w:rsidRPr="00CA287D">
        <w:t xml:space="preserve">. </w:t>
      </w:r>
      <w:r w:rsidR="009925FA" w:rsidRPr="00CA287D">
        <w:rPr>
          <w:bCs/>
        </w:rPr>
        <w:t>Au regard de</w:t>
      </w:r>
      <w:r w:rsidR="009A2E28" w:rsidRPr="00CA287D">
        <w:rPr>
          <w:bCs/>
        </w:rPr>
        <w:t>s</w:t>
      </w:r>
      <w:r w:rsidR="009925FA" w:rsidRPr="00CA287D">
        <w:rPr>
          <w:bCs/>
        </w:rPr>
        <w:t xml:space="preserve"> enjeux</w:t>
      </w:r>
      <w:r w:rsidR="009A2E28" w:rsidRPr="00CA287D">
        <w:rPr>
          <w:bCs/>
        </w:rPr>
        <w:t xml:space="preserve"> liés au vieillissement de la population et à l’inclusion</w:t>
      </w:r>
      <w:r w:rsidR="00606CB1" w:rsidRPr="00CA287D">
        <w:rPr>
          <w:bCs/>
        </w:rPr>
        <w:t>,</w:t>
      </w:r>
      <w:r w:rsidR="00606CB1">
        <w:rPr>
          <w:bCs/>
        </w:rPr>
        <w:t xml:space="preserve"> il ne leur parait pas possible de répondre aux besoins </w:t>
      </w:r>
      <w:r w:rsidR="00836A1A">
        <w:rPr>
          <w:bCs/>
        </w:rPr>
        <w:t>croissant</w:t>
      </w:r>
      <w:r w:rsidR="00F000E5">
        <w:rPr>
          <w:bCs/>
        </w:rPr>
        <w:t>s</w:t>
      </w:r>
      <w:r w:rsidR="00836A1A">
        <w:rPr>
          <w:bCs/>
        </w:rPr>
        <w:t xml:space="preserve"> </w:t>
      </w:r>
      <w:r w:rsidR="00606CB1">
        <w:rPr>
          <w:bCs/>
        </w:rPr>
        <w:t xml:space="preserve">des personnes sans </w:t>
      </w:r>
      <w:r w:rsidR="00555075">
        <w:rPr>
          <w:bCs/>
        </w:rPr>
        <w:t>une progression plus importante d</w:t>
      </w:r>
      <w:r w:rsidR="00606CB1">
        <w:rPr>
          <w:bCs/>
        </w:rPr>
        <w:t>es dépenses de la branche et de nouvelles recettes</w:t>
      </w:r>
      <w:r w:rsidR="009A2E28">
        <w:rPr>
          <w:bCs/>
        </w:rPr>
        <w:t xml:space="preserve">. </w:t>
      </w:r>
      <w:r w:rsidR="00606CB1">
        <w:rPr>
          <w:bCs/>
        </w:rPr>
        <w:t xml:space="preserve">Ce constat </w:t>
      </w:r>
      <w:r w:rsidR="00606CB1" w:rsidRPr="005A1C89">
        <w:rPr>
          <w:bCs/>
        </w:rPr>
        <w:t xml:space="preserve">est partagé par </w:t>
      </w:r>
      <w:r w:rsidR="00606CB1" w:rsidRPr="005A1C89">
        <w:t xml:space="preserve">le Haut conseil des finances publiques qui </w:t>
      </w:r>
      <w:r w:rsidR="00606CB1">
        <w:t>relève</w:t>
      </w:r>
      <w:r w:rsidR="00606CB1" w:rsidRPr="005A1C89">
        <w:t xml:space="preserve"> dans son dernier avis que la trajectoire des dépenses des administrations de sécurité sociale présente une hausse en moyenne de 0,8 % sur la période 2024 – 2027</w:t>
      </w:r>
      <w:r w:rsidR="00606CB1">
        <w:t>,</w:t>
      </w:r>
      <w:r w:rsidR="00606CB1" w:rsidRPr="005A1C89">
        <w:t xml:space="preserve"> mais que cette </w:t>
      </w:r>
      <w:r w:rsidR="00606CB1">
        <w:t>trajectoire</w:t>
      </w:r>
      <w:r w:rsidR="00606CB1" w:rsidRPr="005A1C89">
        <w:t xml:space="preserve"> « ne laisse cependant pas apparaître de surcoût progressif lié aux dépenses de dépendance, malgré la hausse des besoins liés à la perte d’autonomie découlant du vieillissement de la population »</w:t>
      </w:r>
      <w:r w:rsidR="00606CB1" w:rsidRPr="005A1C89">
        <w:rPr>
          <w:rStyle w:val="Appelnotedebasdep"/>
        </w:rPr>
        <w:footnoteReference w:id="1"/>
      </w:r>
      <w:r w:rsidR="00606CB1" w:rsidRPr="005A1C89">
        <w:t>.</w:t>
      </w:r>
      <w:r w:rsidR="00606CB1">
        <w:t xml:space="preserve"> </w:t>
      </w:r>
      <w:r w:rsidR="00606CB1" w:rsidRPr="00CD607A">
        <w:t>Ils demandent donc à ce que le gouvernement prenne enfin la mesure des besoins.</w:t>
      </w:r>
      <w:r w:rsidR="009A2E28">
        <w:t xml:space="preserve"> </w:t>
      </w:r>
    </w:p>
    <w:p w14:paraId="7114BAA7" w14:textId="43498816" w:rsidR="008D4F32" w:rsidRDefault="008D4F32" w:rsidP="00E66A03">
      <w:pPr>
        <w:ind w:firstLine="708"/>
        <w:rPr>
          <w:bCs/>
        </w:rPr>
      </w:pPr>
    </w:p>
    <w:p w14:paraId="5B31F135" w14:textId="2DE79B16" w:rsidR="00644127" w:rsidRPr="004B4A4C" w:rsidRDefault="0010571D" w:rsidP="00644127">
      <w:pPr>
        <w:ind w:firstLine="708"/>
        <w:rPr>
          <w:bCs/>
        </w:rPr>
      </w:pPr>
      <w:r>
        <w:rPr>
          <w:bCs/>
        </w:rPr>
        <w:t>Au regard de</w:t>
      </w:r>
      <w:r w:rsidR="009925FA">
        <w:rPr>
          <w:bCs/>
        </w:rPr>
        <w:t xml:space="preserve"> ces</w:t>
      </w:r>
      <w:r w:rsidR="00555075">
        <w:rPr>
          <w:bCs/>
        </w:rPr>
        <w:t xml:space="preserve"> derniers</w:t>
      </w:r>
      <w:r>
        <w:rPr>
          <w:bCs/>
        </w:rPr>
        <w:t xml:space="preserve">, </w:t>
      </w:r>
      <w:r w:rsidR="00644127">
        <w:rPr>
          <w:bCs/>
        </w:rPr>
        <w:t>les membres du</w:t>
      </w:r>
      <w:r>
        <w:rPr>
          <w:bCs/>
        </w:rPr>
        <w:t xml:space="preserve"> conseil </w:t>
      </w:r>
      <w:r w:rsidR="00644127">
        <w:rPr>
          <w:bCs/>
        </w:rPr>
        <w:t xml:space="preserve">estiment </w:t>
      </w:r>
      <w:r w:rsidR="006217D9">
        <w:rPr>
          <w:bCs/>
        </w:rPr>
        <w:t>en priorité</w:t>
      </w:r>
      <w:r w:rsidR="00644127">
        <w:rPr>
          <w:bCs/>
        </w:rPr>
        <w:t xml:space="preserve"> qu’il est nécessaire de renforcer</w:t>
      </w:r>
      <w:r w:rsidR="00C0105A">
        <w:rPr>
          <w:bCs/>
        </w:rPr>
        <w:t xml:space="preserve"> le nombre de professionnels auprès des personnes au-delà de l’objectif des 50 000 soignants annoncé lors de la dernière LFSS</w:t>
      </w:r>
      <w:r w:rsidR="00C0105A" w:rsidRPr="00CA287D">
        <w:rPr>
          <w:bCs/>
        </w:rPr>
        <w:t xml:space="preserve">. </w:t>
      </w:r>
      <w:r w:rsidR="00A3133B" w:rsidRPr="00CA287D">
        <w:rPr>
          <w:bCs/>
        </w:rPr>
        <w:t xml:space="preserve">Ils souhaitent également que des financements supplémentaires soient alloués pour la mise en conformité des SAAD et SSIAD au cahier des charges des nouveaux </w:t>
      </w:r>
      <w:r w:rsidR="00A444FD" w:rsidRPr="00CA287D">
        <w:rPr>
          <w:bCs/>
        </w:rPr>
        <w:t>s</w:t>
      </w:r>
      <w:r w:rsidR="00A3133B" w:rsidRPr="00CA287D">
        <w:rPr>
          <w:bCs/>
        </w:rPr>
        <w:t>ervices autonomie à domicile (SAD) afin d’éviter un impact négatif de cette réforme sur le reste à charge des personnes et que les nouvelles missions de ces services, telles que celles relative</w:t>
      </w:r>
      <w:r w:rsidR="0037254F" w:rsidRPr="00CA287D">
        <w:rPr>
          <w:bCs/>
        </w:rPr>
        <w:t>s</w:t>
      </w:r>
      <w:r w:rsidR="00A3133B" w:rsidRPr="00CA287D">
        <w:rPr>
          <w:bCs/>
        </w:rPr>
        <w:t xml:space="preserve"> à la prévention, soient financées intégralement et de manière pérenne. </w:t>
      </w:r>
    </w:p>
    <w:p w14:paraId="4B3DD745" w14:textId="77777777" w:rsidR="00555075" w:rsidRDefault="00555075" w:rsidP="00D73A2C">
      <w:pPr>
        <w:ind w:firstLine="708"/>
        <w:rPr>
          <w:bCs/>
        </w:rPr>
      </w:pPr>
    </w:p>
    <w:p w14:paraId="7DCA77B6" w14:textId="05A593AF" w:rsidR="0010571D" w:rsidRDefault="0010571D" w:rsidP="00D73A2C">
      <w:pPr>
        <w:ind w:firstLine="708"/>
        <w:rPr>
          <w:bCs/>
        </w:rPr>
      </w:pPr>
      <w:r w:rsidRPr="00CA287D">
        <w:rPr>
          <w:bCs/>
        </w:rPr>
        <w:t xml:space="preserve">Compte tenu </w:t>
      </w:r>
      <w:r w:rsidR="004867AE" w:rsidRPr="00CA287D">
        <w:rPr>
          <w:bCs/>
        </w:rPr>
        <w:t>des très grandes difficultés remontées par les structures du secteur, qui présentent des taux de défaillance inédits</w:t>
      </w:r>
      <w:r w:rsidRPr="00CA287D">
        <w:rPr>
          <w:bCs/>
        </w:rPr>
        <w:t xml:space="preserve">, </w:t>
      </w:r>
      <w:r w:rsidR="00644127" w:rsidRPr="00CA287D">
        <w:rPr>
          <w:bCs/>
        </w:rPr>
        <w:t>ils</w:t>
      </w:r>
      <w:r w:rsidRPr="00CA287D">
        <w:rPr>
          <w:bCs/>
        </w:rPr>
        <w:t xml:space="preserve"> considèrent </w:t>
      </w:r>
      <w:r w:rsidR="00644127" w:rsidRPr="00CA287D">
        <w:rPr>
          <w:bCs/>
        </w:rPr>
        <w:t xml:space="preserve">également </w:t>
      </w:r>
      <w:r w:rsidRPr="00CA287D">
        <w:rPr>
          <w:bCs/>
        </w:rPr>
        <w:t xml:space="preserve">que le montant du fonds d’urgence de 100 M€ </w:t>
      </w:r>
      <w:r w:rsidR="00644127" w:rsidRPr="00CA287D">
        <w:rPr>
          <w:bCs/>
        </w:rPr>
        <w:t xml:space="preserve">annoncé cet été </w:t>
      </w:r>
      <w:r w:rsidRPr="00CA287D">
        <w:rPr>
          <w:bCs/>
        </w:rPr>
        <w:t xml:space="preserve">est </w:t>
      </w:r>
      <w:r w:rsidR="004754FE" w:rsidRPr="00CA287D">
        <w:rPr>
          <w:bCs/>
        </w:rPr>
        <w:t>très</w:t>
      </w:r>
      <w:r w:rsidR="004754FE">
        <w:rPr>
          <w:bCs/>
        </w:rPr>
        <w:t xml:space="preserve"> </w:t>
      </w:r>
      <w:r w:rsidRPr="00DE7D7B">
        <w:rPr>
          <w:bCs/>
        </w:rPr>
        <w:t>insuffisant et souhaitent que des mesures plus structurelles soient prises pour l’ensemble du secteur</w:t>
      </w:r>
      <w:r>
        <w:rPr>
          <w:bCs/>
        </w:rPr>
        <w:t>, en établissement comme à domicile</w:t>
      </w:r>
      <w:r w:rsidR="00555075">
        <w:rPr>
          <w:bCs/>
        </w:rPr>
        <w:t>, reposant sur une clarification des responsabilités des acteurs et une simplification de la gouvernance territoriale de la branche</w:t>
      </w:r>
      <w:r>
        <w:rPr>
          <w:bCs/>
        </w:rPr>
        <w:t xml:space="preserve">. </w:t>
      </w:r>
      <w:r w:rsidR="00ED17A7">
        <w:rPr>
          <w:bCs/>
        </w:rPr>
        <w:t xml:space="preserve">A cet égard, </w:t>
      </w:r>
      <w:r w:rsidR="00555075">
        <w:rPr>
          <w:bCs/>
        </w:rPr>
        <w:t xml:space="preserve">ils </w:t>
      </w:r>
      <w:r w:rsidR="00213537">
        <w:rPr>
          <w:bCs/>
        </w:rPr>
        <w:t>alertent</w:t>
      </w:r>
      <w:r w:rsidR="00555075">
        <w:rPr>
          <w:bCs/>
        </w:rPr>
        <w:t xml:space="preserve"> sur les modalités d’</w:t>
      </w:r>
      <w:r w:rsidRPr="00DE7D7B">
        <w:rPr>
          <w:bCs/>
        </w:rPr>
        <w:t xml:space="preserve">ouverture à un transfert de financement </w:t>
      </w:r>
      <w:r w:rsidR="00836A1A">
        <w:rPr>
          <w:bCs/>
        </w:rPr>
        <w:t xml:space="preserve">de la section dépendance </w:t>
      </w:r>
      <w:r w:rsidRPr="00DE7D7B">
        <w:rPr>
          <w:bCs/>
        </w:rPr>
        <w:t>des EHPAD vers la branche autonomie sur la base du volontariat des départements, telle que proposée dans ce PLFSS à l’article 37</w:t>
      </w:r>
      <w:r w:rsidR="00555075">
        <w:rPr>
          <w:bCs/>
        </w:rPr>
        <w:t xml:space="preserve">. Pour </w:t>
      </w:r>
      <w:r>
        <w:rPr>
          <w:bCs/>
        </w:rPr>
        <w:t>certains</w:t>
      </w:r>
      <w:r w:rsidR="00555075">
        <w:rPr>
          <w:bCs/>
        </w:rPr>
        <w:t xml:space="preserve">, </w:t>
      </w:r>
      <w:r>
        <w:rPr>
          <w:bCs/>
        </w:rPr>
        <w:t>son caractère optionnel</w:t>
      </w:r>
      <w:r w:rsidR="00644127">
        <w:rPr>
          <w:bCs/>
        </w:rPr>
        <w:t xml:space="preserve"> </w:t>
      </w:r>
      <w:r w:rsidR="00B47045">
        <w:rPr>
          <w:bCs/>
        </w:rPr>
        <w:t>entre en contradiction avec les</w:t>
      </w:r>
      <w:r w:rsidR="00644127">
        <w:rPr>
          <w:bCs/>
        </w:rPr>
        <w:t xml:space="preserve"> objectif</w:t>
      </w:r>
      <w:r w:rsidR="00B47045">
        <w:rPr>
          <w:bCs/>
        </w:rPr>
        <w:t>s</w:t>
      </w:r>
      <w:r w:rsidR="00644127">
        <w:rPr>
          <w:bCs/>
        </w:rPr>
        <w:t xml:space="preserve"> d’équité territoriale et de simplification</w:t>
      </w:r>
      <w:r w:rsidR="00B47045">
        <w:rPr>
          <w:bCs/>
        </w:rPr>
        <w:t xml:space="preserve"> portés par la branche. </w:t>
      </w:r>
      <w:r w:rsidR="006B4616" w:rsidRPr="00CA287D">
        <w:rPr>
          <w:bCs/>
        </w:rPr>
        <w:t xml:space="preserve">Ils appellent donc à une généralisation rapide de cette mesure. </w:t>
      </w:r>
      <w:r w:rsidR="00B47045">
        <w:rPr>
          <w:bCs/>
        </w:rPr>
        <w:t>D</w:t>
      </w:r>
      <w:r>
        <w:rPr>
          <w:bCs/>
        </w:rPr>
        <w:t xml:space="preserve">’autres </w:t>
      </w:r>
      <w:r w:rsidR="00644127">
        <w:rPr>
          <w:bCs/>
        </w:rPr>
        <w:t>questionnent</w:t>
      </w:r>
      <w:r>
        <w:rPr>
          <w:bCs/>
        </w:rPr>
        <w:t xml:space="preserve"> </w:t>
      </w:r>
      <w:r w:rsidR="00836A1A">
        <w:rPr>
          <w:bCs/>
        </w:rPr>
        <w:t xml:space="preserve">le risque </w:t>
      </w:r>
      <w:r w:rsidR="006217D9">
        <w:rPr>
          <w:bCs/>
        </w:rPr>
        <w:t>de</w:t>
      </w:r>
      <w:r w:rsidR="00644127">
        <w:rPr>
          <w:bCs/>
        </w:rPr>
        <w:t xml:space="preserve"> </w:t>
      </w:r>
      <w:r>
        <w:rPr>
          <w:bCs/>
        </w:rPr>
        <w:t>médicalisation</w:t>
      </w:r>
      <w:r w:rsidR="00836A1A">
        <w:rPr>
          <w:bCs/>
        </w:rPr>
        <w:t xml:space="preserve"> accrue</w:t>
      </w:r>
      <w:r>
        <w:rPr>
          <w:bCs/>
        </w:rPr>
        <w:t xml:space="preserve"> des EHPAD </w:t>
      </w:r>
      <w:r w:rsidR="00B47045">
        <w:rPr>
          <w:bCs/>
        </w:rPr>
        <w:t xml:space="preserve">qui pourrait en résulter </w:t>
      </w:r>
      <w:r>
        <w:rPr>
          <w:bCs/>
        </w:rPr>
        <w:t xml:space="preserve">ou encore </w:t>
      </w:r>
      <w:r w:rsidR="00B47045">
        <w:rPr>
          <w:bCs/>
        </w:rPr>
        <w:t xml:space="preserve">son </w:t>
      </w:r>
      <w:r>
        <w:rPr>
          <w:bCs/>
        </w:rPr>
        <w:t>impact sur le reste à charge des familles</w:t>
      </w:r>
      <w:r w:rsidR="00B47045">
        <w:rPr>
          <w:bCs/>
        </w:rPr>
        <w:t xml:space="preserve">, en </w:t>
      </w:r>
      <w:r w:rsidR="00644127">
        <w:rPr>
          <w:bCs/>
        </w:rPr>
        <w:t xml:space="preserve">l’absence de réforme de la section hébergement. </w:t>
      </w:r>
      <w:r w:rsidRPr="00DE7D7B">
        <w:rPr>
          <w:bCs/>
        </w:rPr>
        <w:t>Ils seront</w:t>
      </w:r>
      <w:r w:rsidR="00644127">
        <w:rPr>
          <w:bCs/>
        </w:rPr>
        <w:t xml:space="preserve"> en tout cas</w:t>
      </w:r>
      <w:r w:rsidRPr="00DE7D7B">
        <w:rPr>
          <w:bCs/>
        </w:rPr>
        <w:t xml:space="preserve"> très attentifs aux modalités de mise en œuvre de cette mesure qui seront déterminé</w:t>
      </w:r>
      <w:r w:rsidR="00B17005">
        <w:rPr>
          <w:bCs/>
        </w:rPr>
        <w:t>e</w:t>
      </w:r>
      <w:r w:rsidRPr="00DE7D7B">
        <w:rPr>
          <w:bCs/>
        </w:rPr>
        <w:t xml:space="preserve">s par décret, en particulier concernant la participation journalière des résidents aux dépenses d’entretien de l’autonomie. </w:t>
      </w:r>
      <w:r w:rsidR="004754FE" w:rsidRPr="00CA287D">
        <w:rPr>
          <w:bCs/>
        </w:rPr>
        <w:t>Ils s’interrogent</w:t>
      </w:r>
      <w:r w:rsidR="0073732D" w:rsidRPr="00CA287D">
        <w:rPr>
          <w:bCs/>
        </w:rPr>
        <w:t>,</w:t>
      </w:r>
      <w:r w:rsidR="004754FE" w:rsidRPr="00CA287D">
        <w:rPr>
          <w:bCs/>
        </w:rPr>
        <w:t xml:space="preserve"> par ailleurs</w:t>
      </w:r>
      <w:r w:rsidR="0073732D" w:rsidRPr="00CA287D">
        <w:rPr>
          <w:bCs/>
        </w:rPr>
        <w:t>,</w:t>
      </w:r>
      <w:r w:rsidR="004754FE" w:rsidRPr="00CA287D">
        <w:rPr>
          <w:bCs/>
        </w:rPr>
        <w:t xml:space="preserve"> sur l’opportunité d’envisager un schéma de financement unifié dans le cadre de la réforme</w:t>
      </w:r>
      <w:r w:rsidR="00E51E52" w:rsidRPr="00CA287D">
        <w:rPr>
          <w:bCs/>
        </w:rPr>
        <w:t xml:space="preserve"> des</w:t>
      </w:r>
      <w:r w:rsidR="004754FE" w:rsidRPr="00CA287D">
        <w:rPr>
          <w:bCs/>
        </w:rPr>
        <w:t xml:space="preserve"> services autonomie à domicile. </w:t>
      </w:r>
    </w:p>
    <w:p w14:paraId="478A2D38" w14:textId="1AF59AA2" w:rsidR="00126D63" w:rsidRDefault="00126D63" w:rsidP="00D73A2C">
      <w:pPr>
        <w:ind w:firstLine="708"/>
        <w:rPr>
          <w:bCs/>
        </w:rPr>
      </w:pPr>
    </w:p>
    <w:p w14:paraId="5B39F1CC" w14:textId="2FFCFC64" w:rsidR="00126D63" w:rsidRPr="00CA287D" w:rsidRDefault="00126D63" w:rsidP="00786806">
      <w:pPr>
        <w:ind w:firstLine="708"/>
        <w:rPr>
          <w:bCs/>
        </w:rPr>
      </w:pPr>
      <w:r w:rsidRPr="00CA287D">
        <w:rPr>
          <w:bCs/>
        </w:rPr>
        <w:t xml:space="preserve">Afin de poursuivre la dynamique de rénovation des établissements pour personnes âgées ou en situation de handicap et </w:t>
      </w:r>
      <w:r w:rsidR="004867AE" w:rsidRPr="00CA287D">
        <w:rPr>
          <w:bCs/>
        </w:rPr>
        <w:t>d</w:t>
      </w:r>
      <w:r w:rsidRPr="00CA287D">
        <w:rPr>
          <w:bCs/>
        </w:rPr>
        <w:t xml:space="preserve">es résidences autonomie impulsée par le Ségur et </w:t>
      </w:r>
      <w:r w:rsidR="007E2C4A" w:rsidRPr="00CA287D">
        <w:rPr>
          <w:bCs/>
        </w:rPr>
        <w:t>d’</w:t>
      </w:r>
      <w:r w:rsidRPr="00CA287D">
        <w:rPr>
          <w:bCs/>
        </w:rPr>
        <w:t xml:space="preserve">amorcer la </w:t>
      </w:r>
      <w:r w:rsidR="004867AE" w:rsidRPr="00CA287D">
        <w:rPr>
          <w:bCs/>
        </w:rPr>
        <w:t>décarbonation</w:t>
      </w:r>
      <w:r w:rsidRPr="00CA287D">
        <w:rPr>
          <w:bCs/>
        </w:rPr>
        <w:t xml:space="preserve"> de la branche, les membres du conseil souhaitent </w:t>
      </w:r>
      <w:r w:rsidR="004867AE" w:rsidRPr="00CA287D">
        <w:rPr>
          <w:bCs/>
        </w:rPr>
        <w:t>qu</w:t>
      </w:r>
      <w:r w:rsidR="00B5022D" w:rsidRPr="00CA287D">
        <w:rPr>
          <w:bCs/>
        </w:rPr>
        <w:t>e l</w:t>
      </w:r>
      <w:r w:rsidR="00EC3070" w:rsidRPr="00CA287D">
        <w:rPr>
          <w:bCs/>
        </w:rPr>
        <w:t xml:space="preserve">es excédents de </w:t>
      </w:r>
      <w:r w:rsidR="004867AE" w:rsidRPr="00CA287D">
        <w:rPr>
          <w:bCs/>
        </w:rPr>
        <w:t xml:space="preserve">la branche </w:t>
      </w:r>
      <w:r w:rsidR="00B5022D" w:rsidRPr="00CA287D">
        <w:rPr>
          <w:bCs/>
        </w:rPr>
        <w:t>soient</w:t>
      </w:r>
      <w:r w:rsidR="004867AE" w:rsidRPr="00CA287D">
        <w:rPr>
          <w:bCs/>
        </w:rPr>
        <w:t xml:space="preserve"> mobilisé</w:t>
      </w:r>
      <w:r w:rsidR="00B5022D" w:rsidRPr="00CA287D">
        <w:rPr>
          <w:bCs/>
        </w:rPr>
        <w:t>s à hauteur de 500 M€</w:t>
      </w:r>
      <w:r w:rsidR="004867AE" w:rsidRPr="00CA287D">
        <w:rPr>
          <w:bCs/>
        </w:rPr>
        <w:t xml:space="preserve"> </w:t>
      </w:r>
      <w:r w:rsidR="00CA287D">
        <w:rPr>
          <w:bCs/>
        </w:rPr>
        <w:t xml:space="preserve">par an </w:t>
      </w:r>
      <w:r w:rsidR="00EC3070" w:rsidRPr="00CA287D">
        <w:rPr>
          <w:bCs/>
        </w:rPr>
        <w:t>pour pérenniser l’effort</w:t>
      </w:r>
      <w:r w:rsidR="004867AE" w:rsidRPr="00CA287D">
        <w:rPr>
          <w:bCs/>
        </w:rPr>
        <w:t xml:space="preserve"> d’investissement</w:t>
      </w:r>
      <w:r w:rsidRPr="00CA287D">
        <w:rPr>
          <w:bCs/>
        </w:rPr>
        <w:t xml:space="preserve"> </w:t>
      </w:r>
      <w:r w:rsidR="004867AE" w:rsidRPr="00CA287D">
        <w:rPr>
          <w:bCs/>
        </w:rPr>
        <w:t>des ESMS du secteur.</w:t>
      </w:r>
    </w:p>
    <w:p w14:paraId="078C1A63" w14:textId="77777777" w:rsidR="00555075" w:rsidRDefault="00555075" w:rsidP="00C0105A">
      <w:pPr>
        <w:ind w:firstLine="708"/>
        <w:rPr>
          <w:bCs/>
        </w:rPr>
      </w:pPr>
    </w:p>
    <w:p w14:paraId="60943053" w14:textId="0481D871" w:rsidR="00C0105A" w:rsidRDefault="00644127" w:rsidP="00C0105A">
      <w:pPr>
        <w:ind w:firstLine="708"/>
        <w:rPr>
          <w:bCs/>
        </w:rPr>
      </w:pPr>
      <w:r>
        <w:rPr>
          <w:bCs/>
        </w:rPr>
        <w:t>Le conseil</w:t>
      </w:r>
      <w:r w:rsidR="00C0105A">
        <w:rPr>
          <w:bCs/>
        </w:rPr>
        <w:t xml:space="preserve"> considère </w:t>
      </w:r>
      <w:r>
        <w:rPr>
          <w:bCs/>
        </w:rPr>
        <w:t>aussi</w:t>
      </w:r>
      <w:r w:rsidR="00C0105A">
        <w:rPr>
          <w:bCs/>
        </w:rPr>
        <w:t xml:space="preserve"> que le soutien </w:t>
      </w:r>
      <w:r w:rsidR="0049684F">
        <w:rPr>
          <w:bCs/>
        </w:rPr>
        <w:t xml:space="preserve">et la considération </w:t>
      </w:r>
      <w:r w:rsidR="00C0105A">
        <w:rPr>
          <w:bCs/>
        </w:rPr>
        <w:t>apporté</w:t>
      </w:r>
      <w:r w:rsidR="0049684F">
        <w:rPr>
          <w:bCs/>
        </w:rPr>
        <w:t>s</w:t>
      </w:r>
      <w:r w:rsidR="00C0105A">
        <w:rPr>
          <w:bCs/>
        </w:rPr>
        <w:t xml:space="preserve"> aux aidants d</w:t>
      </w:r>
      <w:r w:rsidR="0049684F">
        <w:rPr>
          <w:bCs/>
        </w:rPr>
        <w:t>oivent</w:t>
      </w:r>
      <w:r w:rsidR="00C0105A">
        <w:rPr>
          <w:bCs/>
        </w:rPr>
        <w:t xml:space="preserve"> constituer une préoccupation centrale des pouvoirs publics au regard de leur épuisement et du rôle qu’ils endossent dans notre système médico-social. Ils rappellent que la réussite de l’approche domiciliaire est conditionnée à</w:t>
      </w:r>
      <w:r w:rsidR="00D46A52">
        <w:rPr>
          <w:bCs/>
        </w:rPr>
        <w:t xml:space="preserve"> </w:t>
      </w:r>
      <w:r w:rsidR="00C0105A">
        <w:rPr>
          <w:bCs/>
        </w:rPr>
        <w:t>une amélioration constante des droits des aidants. L’augmentation et la diversification des solutions de répit constituent notamment une priorité. Or ces solutions ne parviennent pas à voir le jour</w:t>
      </w:r>
      <w:r w:rsidR="00347209">
        <w:rPr>
          <w:bCs/>
        </w:rPr>
        <w:t>.</w:t>
      </w:r>
      <w:r w:rsidR="00347209" w:rsidRPr="00CA287D">
        <w:rPr>
          <w:bCs/>
        </w:rPr>
        <w:t xml:space="preserve"> De même</w:t>
      </w:r>
      <w:r w:rsidR="00C0105A" w:rsidRPr="00CA287D">
        <w:rPr>
          <w:bCs/>
        </w:rPr>
        <w:t>,</w:t>
      </w:r>
      <w:r w:rsidR="00347209" w:rsidRPr="00CA287D">
        <w:rPr>
          <w:bCs/>
        </w:rPr>
        <w:t xml:space="preserve"> des dispositifs tels que le congé de proche aidant demeurent peu utilisés car non adaptés aux besoins des aidants, et ce PLFSS n’apporte pas d’ajustement</w:t>
      </w:r>
      <w:r w:rsidR="004F2F32">
        <w:rPr>
          <w:bCs/>
        </w:rPr>
        <w:t>s</w:t>
      </w:r>
      <w:r w:rsidR="00347209" w:rsidRPr="00CA287D">
        <w:rPr>
          <w:bCs/>
        </w:rPr>
        <w:t xml:space="preserve"> permettant une réelle utilisation des enveloppes qui leur sont consacrées.</w:t>
      </w:r>
    </w:p>
    <w:p w14:paraId="632F834E" w14:textId="77777777" w:rsidR="00B47045" w:rsidRDefault="00B47045" w:rsidP="00644127">
      <w:pPr>
        <w:ind w:firstLine="708"/>
      </w:pPr>
    </w:p>
    <w:p w14:paraId="027EFDFF" w14:textId="24FE0D71" w:rsidR="00C0105A" w:rsidRDefault="00C0105A" w:rsidP="00644127">
      <w:pPr>
        <w:ind w:firstLine="708"/>
        <w:rPr>
          <w:bCs/>
        </w:rPr>
      </w:pPr>
      <w:r>
        <w:t xml:space="preserve">Concernant </w:t>
      </w:r>
      <w:r w:rsidR="00B17005">
        <w:t xml:space="preserve">plus spécifiquement </w:t>
      </w:r>
      <w:r>
        <w:t>les problématiques de fin de vie</w:t>
      </w:r>
      <w:r w:rsidR="00B17005">
        <w:t> :</w:t>
      </w:r>
      <w:r>
        <w:t xml:space="preserve"> dans l’attente de la loi et du plan décennal, les crédits de la branche maladie </w:t>
      </w:r>
      <w:r>
        <w:rPr>
          <w:bCs/>
        </w:rPr>
        <w:t xml:space="preserve">consacrés dans ce PLFSS au renforcement de la filière palliative </w:t>
      </w:r>
      <w:r w:rsidR="00B17005">
        <w:rPr>
          <w:bCs/>
        </w:rPr>
        <w:t>apparaissent</w:t>
      </w:r>
      <w:r>
        <w:rPr>
          <w:bCs/>
        </w:rPr>
        <w:t xml:space="preserve"> nécessaires, mais il conviendrait en parallèle de renforcer le secteur médico-social au moyen d’un accroissement de personnel en établissement et à domicile et d’un appui à leur formation en matière de fin de vie, ou encore de créer de nouvelles prestations pour épauler les aidants, comme préconisé par le conseil dans son dernier avis.</w:t>
      </w:r>
    </w:p>
    <w:p w14:paraId="76F691B9" w14:textId="7A9B4411" w:rsidR="008D4F32" w:rsidRDefault="008D4F32" w:rsidP="00E66A03">
      <w:pPr>
        <w:ind w:firstLine="708"/>
        <w:rPr>
          <w:bCs/>
        </w:rPr>
      </w:pPr>
    </w:p>
    <w:p w14:paraId="2A6B907D" w14:textId="0075C7B0" w:rsidR="008D4F32" w:rsidRDefault="008D4F32" w:rsidP="00552D54">
      <w:pPr>
        <w:ind w:firstLine="708"/>
        <w:rPr>
          <w:bCs/>
        </w:rPr>
      </w:pPr>
      <w:r>
        <w:rPr>
          <w:bCs/>
        </w:rPr>
        <w:t xml:space="preserve">Enfin, les membres du conseil souhaitent rappeler qu’une politique ambitieuse pour l’autonomie nécessite de construire une vision globale et de penser chaque mesure dans un ensemble cohérent. Cette vision </w:t>
      </w:r>
      <w:r w:rsidR="00644127">
        <w:rPr>
          <w:bCs/>
        </w:rPr>
        <w:t xml:space="preserve">globale </w:t>
      </w:r>
      <w:r>
        <w:rPr>
          <w:bCs/>
        </w:rPr>
        <w:t xml:space="preserve">continue de manquer actuellement et nuit à la lisibilité des nombreuses mesures prises </w:t>
      </w:r>
      <w:r w:rsidR="00836A1A">
        <w:rPr>
          <w:bCs/>
        </w:rPr>
        <w:t>dans chacune des lois de financement de la sécurité sociale</w:t>
      </w:r>
      <w:r>
        <w:rPr>
          <w:bCs/>
        </w:rPr>
        <w:t xml:space="preserve"> pour améliorer les droits des personne</w:t>
      </w:r>
      <w:r w:rsidR="00F000E5">
        <w:rPr>
          <w:bCs/>
        </w:rPr>
        <w:t>s</w:t>
      </w:r>
      <w:r>
        <w:rPr>
          <w:bCs/>
        </w:rPr>
        <w:t xml:space="preserve">. </w:t>
      </w:r>
      <w:r w:rsidR="00836A1A">
        <w:rPr>
          <w:bCs/>
        </w:rPr>
        <w:t xml:space="preserve">Celle de 2024 ne fait pas exception en la matière et se révèle dès lors décevante au regard des enjeux. </w:t>
      </w:r>
      <w:r w:rsidR="00377D9B">
        <w:rPr>
          <w:bCs/>
        </w:rPr>
        <w:t>Par ailleurs, a</w:t>
      </w:r>
      <w:r>
        <w:rPr>
          <w:bCs/>
        </w:rPr>
        <w:t>lors que la création de la branche permet de mieux articuler les champ</w:t>
      </w:r>
      <w:r w:rsidR="006217D9">
        <w:rPr>
          <w:bCs/>
        </w:rPr>
        <w:t>s</w:t>
      </w:r>
      <w:r>
        <w:rPr>
          <w:bCs/>
        </w:rPr>
        <w:t xml:space="preserve"> sanitaire et médico-socia</w:t>
      </w:r>
      <w:r w:rsidR="006217D9">
        <w:rPr>
          <w:bCs/>
        </w:rPr>
        <w:t>l</w:t>
      </w:r>
      <w:r>
        <w:rPr>
          <w:bCs/>
        </w:rPr>
        <w:t xml:space="preserve"> et</w:t>
      </w:r>
      <w:r w:rsidR="00377D9B">
        <w:rPr>
          <w:bCs/>
        </w:rPr>
        <w:t xml:space="preserve"> </w:t>
      </w:r>
      <w:r w:rsidR="00CE3D96">
        <w:rPr>
          <w:bCs/>
        </w:rPr>
        <w:t>de mieux</w:t>
      </w:r>
      <w:r w:rsidR="00377D9B">
        <w:rPr>
          <w:bCs/>
        </w:rPr>
        <w:t xml:space="preserve"> pilot</w:t>
      </w:r>
      <w:r w:rsidR="00CE3D96">
        <w:rPr>
          <w:bCs/>
        </w:rPr>
        <w:t>er</w:t>
      </w:r>
      <w:r w:rsidR="00836A1A">
        <w:rPr>
          <w:bCs/>
        </w:rPr>
        <w:t xml:space="preserve"> </w:t>
      </w:r>
      <w:r w:rsidR="00CE3D96">
        <w:rPr>
          <w:bCs/>
        </w:rPr>
        <w:t>l</w:t>
      </w:r>
      <w:r w:rsidR="00836A1A">
        <w:rPr>
          <w:bCs/>
        </w:rPr>
        <w:t>es dépenses</w:t>
      </w:r>
      <w:r w:rsidR="00B00894">
        <w:rPr>
          <w:bCs/>
        </w:rPr>
        <w:t xml:space="preserve">, les membres du conseil regrettent que la présentation de plusieurs articles du </w:t>
      </w:r>
      <w:r w:rsidR="00644127">
        <w:rPr>
          <w:bCs/>
        </w:rPr>
        <w:t>PLFSS</w:t>
      </w:r>
      <w:r w:rsidR="00B00894">
        <w:rPr>
          <w:bCs/>
        </w:rPr>
        <w:t xml:space="preserve"> n’en fasse pas état. C’est le cas notamment de l’article 22 qui porte sur la prise en charge des parcours coordonnés renforcés issus du dispositif « article 51 » ou même, de façon plus structurelle, de la présentation des dépenses des établissements et services pour personnes âgées et personnes handicapé</w:t>
      </w:r>
      <w:r w:rsidR="00377D9B">
        <w:rPr>
          <w:bCs/>
        </w:rPr>
        <w:t>e</w:t>
      </w:r>
      <w:r w:rsidR="00B00894">
        <w:rPr>
          <w:bCs/>
        </w:rPr>
        <w:t xml:space="preserve">s comme sous-objectifs de l’ONDAM avec la </w:t>
      </w:r>
      <w:r w:rsidR="002775A3">
        <w:rPr>
          <w:bCs/>
        </w:rPr>
        <w:t>référence, désormais</w:t>
      </w:r>
      <w:r w:rsidR="00B00894">
        <w:rPr>
          <w:bCs/>
        </w:rPr>
        <w:t xml:space="preserve"> </w:t>
      </w:r>
      <w:r w:rsidR="002775A3">
        <w:rPr>
          <w:bCs/>
        </w:rPr>
        <w:t>obsolète, à u</w:t>
      </w:r>
      <w:r w:rsidR="00B00894">
        <w:rPr>
          <w:bCs/>
        </w:rPr>
        <w:t>ne « contribution de l’assurance maladie » à ces dépenses. Cette contribution n’existe plus depuis la création de la branche autonomie qui est affectataire de recette</w:t>
      </w:r>
      <w:r w:rsidR="00377D9B">
        <w:rPr>
          <w:bCs/>
        </w:rPr>
        <w:t>s</w:t>
      </w:r>
      <w:r w:rsidR="00B00894">
        <w:rPr>
          <w:bCs/>
        </w:rPr>
        <w:t xml:space="preserve"> en propre</w:t>
      </w:r>
      <w:r w:rsidR="00836A1A">
        <w:rPr>
          <w:bCs/>
        </w:rPr>
        <w:t xml:space="preserve"> et dispose d’une autonomie dans la gestion du risque</w:t>
      </w:r>
      <w:r w:rsidR="00B00894">
        <w:rPr>
          <w:bCs/>
        </w:rPr>
        <w:t xml:space="preserve">. </w:t>
      </w:r>
      <w:r w:rsidR="006217D9">
        <w:rPr>
          <w:bCs/>
        </w:rPr>
        <w:t>Une réforme de</w:t>
      </w:r>
      <w:r w:rsidR="00836A1A">
        <w:rPr>
          <w:bCs/>
        </w:rPr>
        <w:t>s lois de financement de la sécurité sociale pour prendre acte de ce changement</w:t>
      </w:r>
      <w:r w:rsidR="006217D9">
        <w:rPr>
          <w:bCs/>
        </w:rPr>
        <w:t xml:space="preserve"> apparait </w:t>
      </w:r>
      <w:r w:rsidR="00836A1A">
        <w:rPr>
          <w:bCs/>
        </w:rPr>
        <w:t xml:space="preserve">dès lors </w:t>
      </w:r>
      <w:r w:rsidR="006217D9">
        <w:rPr>
          <w:bCs/>
        </w:rPr>
        <w:t xml:space="preserve">nécessaire sur ce point. </w:t>
      </w:r>
    </w:p>
    <w:p w14:paraId="27590A0A" w14:textId="77777777" w:rsidR="00B00894" w:rsidRDefault="00B00894" w:rsidP="008D4F32">
      <w:pPr>
        <w:ind w:firstLine="708"/>
        <w:rPr>
          <w:bCs/>
        </w:rPr>
      </w:pPr>
    </w:p>
    <w:p w14:paraId="539B20BC" w14:textId="115EFB91" w:rsidR="0061533C" w:rsidRPr="008B4996" w:rsidRDefault="00FE0ADD" w:rsidP="00F000E5">
      <w:pPr>
        <w:ind w:firstLine="708"/>
      </w:pPr>
      <w:r>
        <w:t xml:space="preserve">Certains membres du </w:t>
      </w:r>
      <w:r w:rsidR="005209EF">
        <w:t>c</w:t>
      </w:r>
      <w:r w:rsidR="00704A5C">
        <w:t>onseil</w:t>
      </w:r>
      <w:r w:rsidR="0061533C">
        <w:t xml:space="preserve"> ont également</w:t>
      </w:r>
      <w:r>
        <w:t xml:space="preserve"> souhaité </w:t>
      </w:r>
      <w:r w:rsidR="0061533C">
        <w:t xml:space="preserve">exprimer leurs positions respectives sur ce PLFSS pour 2024. Ces dernières </w:t>
      </w:r>
      <w:r w:rsidR="0061533C" w:rsidRPr="008B4996">
        <w:t xml:space="preserve">seront annexées au présent avis. </w:t>
      </w:r>
    </w:p>
    <w:p w14:paraId="7D7877DC" w14:textId="3F08655F" w:rsidR="00AE4B5D" w:rsidRDefault="00AE4B5D" w:rsidP="005131A7">
      <w:pPr>
        <w:rPr>
          <w:bCs/>
        </w:rPr>
      </w:pPr>
    </w:p>
    <w:p w14:paraId="5C641B29" w14:textId="7FA4493E" w:rsidR="008D52CE" w:rsidRPr="001032A5" w:rsidRDefault="008D52CE" w:rsidP="00D73A2C">
      <w:pPr>
        <w:jc w:val="center"/>
      </w:pPr>
    </w:p>
    <w:sectPr w:rsidR="008D52CE" w:rsidRPr="001032A5" w:rsidSect="004F214D">
      <w:headerReference w:type="even" r:id="rId11"/>
      <w:headerReference w:type="default" r:id="rId12"/>
      <w:footerReference w:type="default" r:id="rId13"/>
      <w:headerReference w:type="first" r:id="rId14"/>
      <w:pgSz w:w="11900" w:h="16840"/>
      <w:pgMar w:top="1702" w:right="1588" w:bottom="567" w:left="158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7BEA9" w14:textId="77777777" w:rsidR="008A2595" w:rsidRDefault="008A2595" w:rsidP="005459FD">
      <w:r>
        <w:separator/>
      </w:r>
    </w:p>
  </w:endnote>
  <w:endnote w:type="continuationSeparator" w:id="0">
    <w:p w14:paraId="298F153C" w14:textId="77777777" w:rsidR="008A2595" w:rsidRDefault="008A2595" w:rsidP="0054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E1000AEF" w:usb1="5000A1FF" w:usb2="00000000" w:usb3="00000000" w:csb0="000001BF" w:csb1="00000000"/>
  </w:font>
  <w:font w:name="MinionPro-Regular">
    <w:altName w:val="Minion Pro"/>
    <w:charset w:val="00"/>
    <w:family w:val="auto"/>
    <w:pitch w:val="variable"/>
    <w:sig w:usb0="00000001"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30158"/>
      <w:docPartObj>
        <w:docPartGallery w:val="Page Numbers (Bottom of Page)"/>
        <w:docPartUnique/>
      </w:docPartObj>
    </w:sdtPr>
    <w:sdtEndPr/>
    <w:sdtContent>
      <w:p w14:paraId="40CECA4E" w14:textId="59C1D9FC" w:rsidR="00FB0AA5" w:rsidRDefault="00FB0AA5">
        <w:pPr>
          <w:pStyle w:val="Pieddepage"/>
          <w:jc w:val="center"/>
        </w:pPr>
        <w:r>
          <w:fldChar w:fldCharType="begin"/>
        </w:r>
        <w:r>
          <w:instrText>PAGE   \* MERGEFORMAT</w:instrText>
        </w:r>
        <w:r>
          <w:fldChar w:fldCharType="separate"/>
        </w:r>
        <w:r>
          <w:t>2</w:t>
        </w:r>
        <w:r>
          <w:fldChar w:fldCharType="end"/>
        </w:r>
      </w:p>
    </w:sdtContent>
  </w:sdt>
  <w:p w14:paraId="4F291AB2" w14:textId="77777777" w:rsidR="009D5145" w:rsidRDefault="009D51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33F4F" w14:textId="77777777" w:rsidR="008A2595" w:rsidRDefault="008A2595" w:rsidP="005459FD"/>
  </w:footnote>
  <w:footnote w:type="continuationSeparator" w:id="0">
    <w:p w14:paraId="47697E4A" w14:textId="77777777" w:rsidR="008A2595" w:rsidRDefault="008A2595" w:rsidP="005459FD">
      <w:r>
        <w:continuationSeparator/>
      </w:r>
    </w:p>
  </w:footnote>
  <w:footnote w:id="1">
    <w:p w14:paraId="7FA6D524" w14:textId="77777777" w:rsidR="00606CB1" w:rsidRDefault="00606CB1" w:rsidP="00606CB1">
      <w:pPr>
        <w:pStyle w:val="Notedebasdepage"/>
      </w:pPr>
      <w:r>
        <w:rPr>
          <w:rStyle w:val="Appelnotedebasdep"/>
        </w:rPr>
        <w:footnoteRef/>
      </w:r>
      <w:r>
        <w:t xml:space="preserve"> </w:t>
      </w:r>
      <w:r w:rsidRPr="0051346B">
        <w:rPr>
          <w:sz w:val="18"/>
        </w:rPr>
        <w:t>Avis n° HCFP-2023-7 relatif à la révision du projet de loi de programmation des finances publiques pour les années 2023 à 2027, 22 septembre 2023</w:t>
      </w:r>
      <w:r>
        <w:rPr>
          <w:sz w:val="18"/>
        </w:rPr>
        <w:t>, p.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BD8C" w14:textId="0AA633A6" w:rsidR="009D5145" w:rsidRDefault="009D51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057BE" w14:textId="25181E61" w:rsidR="0025717E" w:rsidRDefault="0025717E" w:rsidP="005459FD">
    <w:pPr>
      <w:pStyle w:val="En-tte"/>
      <w:rPr>
        <w:color w:val="B9D031"/>
        <w:sz w:val="40"/>
        <w:szCs w:val="40"/>
      </w:rPr>
    </w:pPr>
  </w:p>
  <w:p w14:paraId="2F0057BF" w14:textId="77777777" w:rsidR="0025717E" w:rsidRDefault="0025717E" w:rsidP="001032A5">
    <w:pPr>
      <w:pStyle w:val="En-tte"/>
    </w:pPr>
  </w:p>
  <w:p w14:paraId="2F0057C0" w14:textId="77777777" w:rsidR="0025717E" w:rsidRPr="00804059" w:rsidRDefault="0025717E" w:rsidP="001032A5">
    <w:pPr>
      <w:pStyle w:val="En-tte"/>
    </w:pPr>
    <w:r>
      <w:rPr>
        <w:b/>
        <w:color w:val="B9D031"/>
        <w:sz w:val="40"/>
        <w:szCs w:val="40"/>
      </w:rPr>
      <w:tab/>
    </w:r>
    <w:r w:rsidRPr="00804059">
      <w:rPr>
        <w:noProof/>
      </w:rPr>
      <w:t xml:space="preserve"> </w:t>
    </w:r>
  </w:p>
  <w:p w14:paraId="2F0057C1" w14:textId="77777777" w:rsidR="00EC4C78" w:rsidRDefault="00EC4C78" w:rsidP="005459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057C6" w14:textId="79108AB5" w:rsidR="00EC4C78" w:rsidRPr="00062893" w:rsidRDefault="004F214D" w:rsidP="004F214D">
    <w:pPr>
      <w:pStyle w:val="En-tte"/>
      <w:jc w:val="right"/>
      <w:rPr>
        <w:color w:val="B9D031"/>
      </w:rPr>
    </w:pPr>
    <w:r>
      <w:rPr>
        <w:noProof/>
      </w:rPr>
      <w:drawing>
        <wp:anchor distT="0" distB="0" distL="114300" distR="114300" simplePos="0" relativeHeight="251658240" behindDoc="1" locked="0" layoutInCell="1" allowOverlap="1" wp14:anchorId="2F0057CB" wp14:editId="7CE461FF">
          <wp:simplePos x="0" y="0"/>
          <wp:positionH relativeFrom="column">
            <wp:posOffset>-417195</wp:posOffset>
          </wp:positionH>
          <wp:positionV relativeFrom="paragraph">
            <wp:posOffset>-500380</wp:posOffset>
          </wp:positionV>
          <wp:extent cx="1143000" cy="746599"/>
          <wp:effectExtent l="0" t="0" r="0" b="0"/>
          <wp:wrapNone/>
          <wp:docPr id="10" name="Image 10" descr="Macintosh HD:Users:bmauch01:Desktop:Lg CNSA 2017 Q.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mauch01:Desktop:Lg CNSA 2017 Q.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46599"/>
                  </a:xfrm>
                  <a:prstGeom prst="rect">
                    <a:avLst/>
                  </a:prstGeom>
                  <a:noFill/>
                  <a:ln>
                    <a:noFill/>
                  </a:ln>
                </pic:spPr>
              </pic:pic>
            </a:graphicData>
          </a:graphic>
          <wp14:sizeRelH relativeFrom="page">
            <wp14:pctWidth>0</wp14:pctWidth>
          </wp14:sizeRelH>
          <wp14:sizeRelV relativeFrom="page">
            <wp14:pctHeight>0</wp14:pctHeight>
          </wp14:sizeRelV>
        </wp:anchor>
      </w:drawing>
    </w:r>
    <w:r w:rsidR="00EC4C78">
      <w:t xml:space="preserve">            </w:t>
    </w:r>
    <w:r w:rsidR="00062893" w:rsidRPr="00062893">
      <w:t xml:space="preserve">Paris, le </w:t>
    </w:r>
    <w:r w:rsidR="00CC5C5C">
      <w:t>3</w:t>
    </w:r>
    <w:r w:rsidR="00062893" w:rsidRPr="00062893">
      <w:t xml:space="preserve"> octobre 202</w:t>
    </w:r>
    <w:r w:rsidR="00CC5C5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E4C"/>
    <w:multiLevelType w:val="multilevel"/>
    <w:tmpl w:val="1E006D6C"/>
    <w:lvl w:ilvl="0">
      <w:start w:val="1"/>
      <w:numFmt w:val="decimal"/>
      <w:lvlText w:val="%1."/>
      <w:lvlJc w:val="left"/>
      <w:pPr>
        <w:tabs>
          <w:tab w:val="num" w:pos="1247"/>
        </w:tabs>
        <w:ind w:left="1247" w:hanging="396"/>
      </w:pPr>
      <w:rPr>
        <w:rFonts w:ascii="Arial" w:hAnsi="Arial" w:hint="default"/>
        <w:b/>
        <w:bCs/>
        <w:i w:val="0"/>
        <w:iCs w:val="0"/>
        <w:color w:val="5AAB45"/>
        <w:sz w:val="22"/>
        <w:szCs w:val="22"/>
      </w:rPr>
    </w:lvl>
    <w:lvl w:ilvl="1">
      <w:start w:val="1"/>
      <w:numFmt w:val="decimal"/>
      <w:lvlText w:val="%1.%2"/>
      <w:lvlJc w:val="left"/>
      <w:pPr>
        <w:tabs>
          <w:tab w:val="num" w:pos="1758"/>
        </w:tabs>
        <w:ind w:left="1758" w:hanging="511"/>
      </w:pPr>
      <w:rPr>
        <w:rFonts w:ascii="Arial" w:hAnsi="Arial" w:hint="default"/>
        <w:b w:val="0"/>
        <w:bCs w:val="0"/>
        <w:i w:val="0"/>
        <w:iCs w:val="0"/>
        <w:color w:val="5AAB45"/>
        <w:sz w:val="22"/>
        <w:szCs w:val="22"/>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 w15:restartNumberingAfterBreak="0">
    <w:nsid w:val="06231113"/>
    <w:multiLevelType w:val="multilevel"/>
    <w:tmpl w:val="3530FE26"/>
    <w:lvl w:ilvl="0">
      <w:start w:val="1"/>
      <w:numFmt w:val="decimal"/>
      <w:lvlText w:val="%1."/>
      <w:lvlJc w:val="left"/>
      <w:pPr>
        <w:tabs>
          <w:tab w:val="num" w:pos="1247"/>
        </w:tabs>
        <w:ind w:left="1247" w:hanging="396"/>
      </w:pPr>
      <w:rPr>
        <w:rFonts w:ascii="Arial" w:hAnsi="Arial" w:cs="Times New Roman" w:hint="default"/>
        <w:b/>
        <w:bCs/>
        <w:i w:val="0"/>
        <w:iCs w:val="0"/>
        <w:color w:val="5AAB45"/>
        <w:sz w:val="22"/>
        <w:szCs w:val="22"/>
      </w:rPr>
    </w:lvl>
    <w:lvl w:ilvl="1">
      <w:start w:val="1"/>
      <w:numFmt w:val="decimal"/>
      <w:lvlText w:val="%1.%2"/>
      <w:lvlJc w:val="left"/>
      <w:pPr>
        <w:tabs>
          <w:tab w:val="num" w:pos="1758"/>
        </w:tabs>
        <w:ind w:left="1758" w:hanging="511"/>
      </w:pPr>
      <w:rPr>
        <w:rFonts w:ascii="Arial" w:hAnsi="Arial" w:cs="Times New Roman" w:hint="default"/>
        <w:b w:val="0"/>
        <w:bCs w:val="0"/>
        <w:i w:val="0"/>
        <w:iCs w:val="0"/>
        <w:color w:val="5AAB45"/>
        <w:sz w:val="22"/>
        <w:szCs w:val="22"/>
      </w:rPr>
    </w:lvl>
    <w:lvl w:ilvl="2">
      <w:start w:val="1"/>
      <w:numFmt w:val="decimal"/>
      <w:lvlText w:val="%1.%2.%3."/>
      <w:lvlJc w:val="left"/>
      <w:pPr>
        <w:ind w:left="2075" w:hanging="504"/>
      </w:pPr>
      <w:rPr>
        <w:rFonts w:cs="Times New Roman" w:hint="default"/>
      </w:rPr>
    </w:lvl>
    <w:lvl w:ilvl="3">
      <w:start w:val="1"/>
      <w:numFmt w:val="decimal"/>
      <w:lvlText w:val="%1.%2.%3.%4."/>
      <w:lvlJc w:val="left"/>
      <w:pPr>
        <w:ind w:left="2579" w:hanging="648"/>
      </w:pPr>
      <w:rPr>
        <w:rFonts w:cs="Times New Roman" w:hint="default"/>
      </w:rPr>
    </w:lvl>
    <w:lvl w:ilvl="4">
      <w:start w:val="1"/>
      <w:numFmt w:val="decimal"/>
      <w:lvlText w:val="%1.%2.%3.%4.%5."/>
      <w:lvlJc w:val="left"/>
      <w:pPr>
        <w:ind w:left="3083" w:hanging="792"/>
      </w:pPr>
      <w:rPr>
        <w:rFonts w:cs="Times New Roman" w:hint="default"/>
      </w:rPr>
    </w:lvl>
    <w:lvl w:ilvl="5">
      <w:start w:val="1"/>
      <w:numFmt w:val="decimal"/>
      <w:lvlText w:val="%1.%2.%3.%4.%5.%6."/>
      <w:lvlJc w:val="left"/>
      <w:pPr>
        <w:ind w:left="3587" w:hanging="936"/>
      </w:pPr>
      <w:rPr>
        <w:rFonts w:cs="Times New Roman" w:hint="default"/>
      </w:rPr>
    </w:lvl>
    <w:lvl w:ilvl="6">
      <w:start w:val="1"/>
      <w:numFmt w:val="decimal"/>
      <w:lvlText w:val="%1.%2.%3.%4.%5.%6.%7."/>
      <w:lvlJc w:val="left"/>
      <w:pPr>
        <w:ind w:left="4091" w:hanging="1080"/>
      </w:pPr>
      <w:rPr>
        <w:rFonts w:cs="Times New Roman" w:hint="default"/>
      </w:rPr>
    </w:lvl>
    <w:lvl w:ilvl="7">
      <w:start w:val="1"/>
      <w:numFmt w:val="decimal"/>
      <w:lvlText w:val="%1.%2.%3.%4.%5.%6.%7.%8."/>
      <w:lvlJc w:val="left"/>
      <w:pPr>
        <w:ind w:left="4595" w:hanging="1224"/>
      </w:pPr>
      <w:rPr>
        <w:rFonts w:cs="Times New Roman" w:hint="default"/>
      </w:rPr>
    </w:lvl>
    <w:lvl w:ilvl="8">
      <w:start w:val="1"/>
      <w:numFmt w:val="decimal"/>
      <w:lvlText w:val="%1.%2.%3.%4.%5.%6.%7.%8.%9."/>
      <w:lvlJc w:val="left"/>
      <w:pPr>
        <w:ind w:left="5171" w:hanging="1440"/>
      </w:pPr>
      <w:rPr>
        <w:rFonts w:cs="Times New Roman" w:hint="default"/>
      </w:rPr>
    </w:lvl>
  </w:abstractNum>
  <w:abstractNum w:abstractNumId="2" w15:restartNumberingAfterBreak="0">
    <w:nsid w:val="2BDD01F6"/>
    <w:multiLevelType w:val="multilevel"/>
    <w:tmpl w:val="DC728632"/>
    <w:lvl w:ilvl="0">
      <w:start w:val="1"/>
      <w:numFmt w:val="bullet"/>
      <w:lvlText w:val=""/>
      <w:lvlJc w:val="left"/>
      <w:pPr>
        <w:tabs>
          <w:tab w:val="num" w:pos="1701"/>
        </w:tabs>
        <w:ind w:left="1701" w:hanging="283"/>
      </w:pPr>
      <w:rPr>
        <w:rFonts w:ascii="Symbol" w:hAnsi="Symbol" w:hint="default"/>
        <w:b/>
        <w:bCs/>
        <w:i w:val="0"/>
        <w:iCs w:val="0"/>
        <w:color w:val="5AAB45"/>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F956BD0"/>
    <w:multiLevelType w:val="hybridMultilevel"/>
    <w:tmpl w:val="9B8CF8C2"/>
    <w:lvl w:ilvl="0" w:tplc="3A3C873C">
      <w:start w:val="1"/>
      <w:numFmt w:val="bullet"/>
      <w:lvlText w:val=""/>
      <w:lvlJc w:val="left"/>
      <w:pPr>
        <w:ind w:left="1967"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D1779D"/>
    <w:multiLevelType w:val="multilevel"/>
    <w:tmpl w:val="E0A23BF8"/>
    <w:lvl w:ilvl="0">
      <w:start w:val="1"/>
      <w:numFmt w:val="decimal"/>
      <w:pStyle w:val="Puce"/>
      <w:lvlText w:val="%1."/>
      <w:lvlJc w:val="left"/>
      <w:pPr>
        <w:tabs>
          <w:tab w:val="num" w:pos="1247"/>
        </w:tabs>
        <w:ind w:left="1247" w:hanging="396"/>
      </w:pPr>
      <w:rPr>
        <w:rFonts w:ascii="Arial" w:hAnsi="Arial" w:hint="default"/>
        <w:b/>
        <w:bCs/>
        <w:i w:val="0"/>
        <w:iCs w:val="0"/>
        <w:color w:val="5AAB45"/>
        <w:sz w:val="22"/>
        <w:szCs w:val="22"/>
      </w:rPr>
    </w:lvl>
    <w:lvl w:ilvl="1">
      <w:start w:val="1"/>
      <w:numFmt w:val="decimal"/>
      <w:lvlText w:val="%1.%2"/>
      <w:lvlJc w:val="left"/>
      <w:pPr>
        <w:tabs>
          <w:tab w:val="num" w:pos="1758"/>
        </w:tabs>
        <w:ind w:left="1758" w:hanging="511"/>
      </w:pPr>
      <w:rPr>
        <w:rFonts w:ascii="Arial" w:hAnsi="Arial" w:hint="default"/>
        <w:b w:val="0"/>
        <w:bCs w:val="0"/>
        <w:i w:val="0"/>
        <w:iCs w:val="0"/>
        <w:color w:val="5AAB45"/>
        <w:sz w:val="22"/>
        <w:szCs w:val="22"/>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5" w15:restartNumberingAfterBreak="0">
    <w:nsid w:val="61106470"/>
    <w:multiLevelType w:val="multilevel"/>
    <w:tmpl w:val="C0C622D2"/>
    <w:lvl w:ilvl="0">
      <w:start w:val="1"/>
      <w:numFmt w:val="decimal"/>
      <w:lvlText w:val="%1."/>
      <w:lvlJc w:val="left"/>
      <w:pPr>
        <w:tabs>
          <w:tab w:val="num" w:pos="1247"/>
        </w:tabs>
        <w:ind w:left="1247" w:hanging="396"/>
      </w:pPr>
      <w:rPr>
        <w:rFonts w:ascii="Arial" w:hAnsi="Arial" w:hint="default"/>
        <w:b/>
        <w:bCs/>
        <w:i w:val="0"/>
        <w:iCs w:val="0"/>
        <w:color w:val="5AAB45"/>
        <w:sz w:val="22"/>
        <w:szCs w:val="22"/>
      </w:rPr>
    </w:lvl>
    <w:lvl w:ilvl="1">
      <w:start w:val="1"/>
      <w:numFmt w:val="decimal"/>
      <w:lvlText w:val="%1.%2"/>
      <w:lvlJc w:val="left"/>
      <w:pPr>
        <w:tabs>
          <w:tab w:val="num" w:pos="1814"/>
        </w:tabs>
        <w:ind w:left="1814" w:hanging="567"/>
      </w:pPr>
      <w:rPr>
        <w:rFonts w:ascii="Arial" w:hAnsi="Arial" w:hint="default"/>
        <w:b w:val="0"/>
        <w:bCs w:val="0"/>
        <w:i w:val="0"/>
        <w:iCs w:val="0"/>
        <w:color w:val="5AAB45"/>
        <w:sz w:val="22"/>
        <w:szCs w:val="22"/>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 w15:restartNumberingAfterBreak="0">
    <w:nsid w:val="747744EE"/>
    <w:multiLevelType w:val="hybridMultilevel"/>
    <w:tmpl w:val="4A96AB3E"/>
    <w:lvl w:ilvl="0" w:tplc="5CF0CA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61B48C2"/>
    <w:multiLevelType w:val="hybridMultilevel"/>
    <w:tmpl w:val="21F891EE"/>
    <w:lvl w:ilvl="0" w:tplc="F80A31D0">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CE7F1B"/>
    <w:multiLevelType w:val="multilevel"/>
    <w:tmpl w:val="DCA8C5E6"/>
    <w:lvl w:ilvl="0">
      <w:start w:val="1"/>
      <w:numFmt w:val="decimal"/>
      <w:lvlText w:val="%1."/>
      <w:lvlJc w:val="left"/>
      <w:pPr>
        <w:tabs>
          <w:tab w:val="num" w:pos="1134"/>
        </w:tabs>
        <w:ind w:left="1134" w:hanging="283"/>
      </w:pPr>
      <w:rPr>
        <w:rFonts w:ascii="Arial" w:hAnsi="Arial" w:hint="default"/>
        <w:b/>
        <w:bCs/>
        <w:i w:val="0"/>
        <w:iCs w:val="0"/>
        <w:color w:val="5AAB45"/>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D643BCD"/>
    <w:multiLevelType w:val="multilevel"/>
    <w:tmpl w:val="2592B4C0"/>
    <w:lvl w:ilvl="0">
      <w:start w:val="1"/>
      <w:numFmt w:val="decimal"/>
      <w:lvlText w:val="%1."/>
      <w:lvlJc w:val="left"/>
      <w:pPr>
        <w:tabs>
          <w:tab w:val="num" w:pos="1247"/>
        </w:tabs>
        <w:ind w:left="1247" w:hanging="396"/>
      </w:pPr>
      <w:rPr>
        <w:rFonts w:ascii="Arial" w:hAnsi="Arial" w:hint="default"/>
        <w:b/>
        <w:bCs/>
        <w:i w:val="0"/>
        <w:iCs w:val="0"/>
        <w:color w:val="5AAB45"/>
        <w:sz w:val="22"/>
        <w:szCs w:val="22"/>
      </w:rPr>
    </w:lvl>
    <w:lvl w:ilvl="1">
      <w:start w:val="1"/>
      <w:numFmt w:val="decimal"/>
      <w:lvlText w:val="%1.%2."/>
      <w:lvlJc w:val="left"/>
      <w:pPr>
        <w:tabs>
          <w:tab w:val="num" w:pos="1644"/>
        </w:tabs>
        <w:ind w:left="1643" w:hanging="396"/>
      </w:pPr>
      <w:rPr>
        <w:rFonts w:ascii="Arial" w:hAnsi="Arial" w:hint="default"/>
        <w:b w:val="0"/>
        <w:bCs w:val="0"/>
        <w:i w:val="0"/>
        <w:iCs w:val="0"/>
        <w:color w:val="5AAB45"/>
        <w:sz w:val="22"/>
        <w:szCs w:val="22"/>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num w:numId="1">
    <w:abstractNumId w:val="0"/>
  </w:num>
  <w:num w:numId="2">
    <w:abstractNumId w:val="2"/>
  </w:num>
  <w:num w:numId="3">
    <w:abstractNumId w:val="8"/>
  </w:num>
  <w:num w:numId="4">
    <w:abstractNumId w:val="9"/>
  </w:num>
  <w:num w:numId="5">
    <w:abstractNumId w:val="5"/>
  </w:num>
  <w:num w:numId="6">
    <w:abstractNumId w:val="3"/>
  </w:num>
  <w:num w:numId="7">
    <w:abstractNumId w:val="1"/>
  </w:num>
  <w:num w:numId="8">
    <w:abstractNumId w:val="0"/>
  </w:num>
  <w:num w:numId="9">
    <w:abstractNumId w:val="0"/>
  </w:num>
  <w:num w:numId="10">
    <w:abstractNumId w:val="0"/>
  </w:num>
  <w:num w:numId="11">
    <w:abstractNumId w:val="4"/>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comments" w:enforcement="0"/>
  <w:defaultTabStop w:val="708"/>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C6"/>
    <w:rsid w:val="00006B48"/>
    <w:rsid w:val="000116A7"/>
    <w:rsid w:val="000122CE"/>
    <w:rsid w:val="000230A4"/>
    <w:rsid w:val="0002610D"/>
    <w:rsid w:val="000363D5"/>
    <w:rsid w:val="00037019"/>
    <w:rsid w:val="000426B2"/>
    <w:rsid w:val="00042F38"/>
    <w:rsid w:val="0004546B"/>
    <w:rsid w:val="00046886"/>
    <w:rsid w:val="0005512A"/>
    <w:rsid w:val="0005582A"/>
    <w:rsid w:val="00062893"/>
    <w:rsid w:val="00062BAA"/>
    <w:rsid w:val="00064494"/>
    <w:rsid w:val="0006586A"/>
    <w:rsid w:val="000744EB"/>
    <w:rsid w:val="00074EFA"/>
    <w:rsid w:val="0007709F"/>
    <w:rsid w:val="000800FE"/>
    <w:rsid w:val="0008121E"/>
    <w:rsid w:val="00084AEE"/>
    <w:rsid w:val="00085035"/>
    <w:rsid w:val="00092243"/>
    <w:rsid w:val="00094925"/>
    <w:rsid w:val="000A014F"/>
    <w:rsid w:val="000A15BC"/>
    <w:rsid w:val="000A65D1"/>
    <w:rsid w:val="000A74FF"/>
    <w:rsid w:val="000B4C3F"/>
    <w:rsid w:val="000B524D"/>
    <w:rsid w:val="000B5B33"/>
    <w:rsid w:val="000D54E3"/>
    <w:rsid w:val="000D5BC0"/>
    <w:rsid w:val="000D794F"/>
    <w:rsid w:val="000E0E09"/>
    <w:rsid w:val="000E0EEE"/>
    <w:rsid w:val="000E735C"/>
    <w:rsid w:val="000F0E7B"/>
    <w:rsid w:val="000F45A1"/>
    <w:rsid w:val="00100B78"/>
    <w:rsid w:val="001032A5"/>
    <w:rsid w:val="0010342A"/>
    <w:rsid w:val="0010571D"/>
    <w:rsid w:val="00105D08"/>
    <w:rsid w:val="001070F8"/>
    <w:rsid w:val="00115142"/>
    <w:rsid w:val="0012160B"/>
    <w:rsid w:val="00126D63"/>
    <w:rsid w:val="0012713F"/>
    <w:rsid w:val="001376C0"/>
    <w:rsid w:val="00141F1D"/>
    <w:rsid w:val="00147EEF"/>
    <w:rsid w:val="0016013C"/>
    <w:rsid w:val="00160F1A"/>
    <w:rsid w:val="00171C45"/>
    <w:rsid w:val="0018145D"/>
    <w:rsid w:val="00186BF0"/>
    <w:rsid w:val="00187DDA"/>
    <w:rsid w:val="00190D00"/>
    <w:rsid w:val="001968AC"/>
    <w:rsid w:val="001979BD"/>
    <w:rsid w:val="001A127B"/>
    <w:rsid w:val="001A354F"/>
    <w:rsid w:val="001A458C"/>
    <w:rsid w:val="001B0ECE"/>
    <w:rsid w:val="001B35A4"/>
    <w:rsid w:val="001B4901"/>
    <w:rsid w:val="001C3E4D"/>
    <w:rsid w:val="001C536E"/>
    <w:rsid w:val="001C5EBB"/>
    <w:rsid w:val="001E23D1"/>
    <w:rsid w:val="001E4906"/>
    <w:rsid w:val="001E4BA5"/>
    <w:rsid w:val="001E5D4C"/>
    <w:rsid w:val="001E6CAB"/>
    <w:rsid w:val="001F7E43"/>
    <w:rsid w:val="00210195"/>
    <w:rsid w:val="00213537"/>
    <w:rsid w:val="00243AEC"/>
    <w:rsid w:val="00245262"/>
    <w:rsid w:val="00255A0C"/>
    <w:rsid w:val="00256CEC"/>
    <w:rsid w:val="0025717E"/>
    <w:rsid w:val="002578DE"/>
    <w:rsid w:val="0026443F"/>
    <w:rsid w:val="00264BBA"/>
    <w:rsid w:val="00265533"/>
    <w:rsid w:val="002742C6"/>
    <w:rsid w:val="002767D5"/>
    <w:rsid w:val="002775A3"/>
    <w:rsid w:val="002A474D"/>
    <w:rsid w:val="002A5C3E"/>
    <w:rsid w:val="002A6660"/>
    <w:rsid w:val="002B300C"/>
    <w:rsid w:val="002B3330"/>
    <w:rsid w:val="002C0FAD"/>
    <w:rsid w:val="002C2045"/>
    <w:rsid w:val="002D0FD9"/>
    <w:rsid w:val="002D53FF"/>
    <w:rsid w:val="002E28A7"/>
    <w:rsid w:val="002E4140"/>
    <w:rsid w:val="002E79C8"/>
    <w:rsid w:val="002F2085"/>
    <w:rsid w:val="002F2FAC"/>
    <w:rsid w:val="002F6D30"/>
    <w:rsid w:val="002F6E69"/>
    <w:rsid w:val="00301C0A"/>
    <w:rsid w:val="003061E5"/>
    <w:rsid w:val="00312C53"/>
    <w:rsid w:val="00320DE4"/>
    <w:rsid w:val="003240CC"/>
    <w:rsid w:val="00332856"/>
    <w:rsid w:val="00337C99"/>
    <w:rsid w:val="00340C2C"/>
    <w:rsid w:val="003435DA"/>
    <w:rsid w:val="0034457B"/>
    <w:rsid w:val="003446FD"/>
    <w:rsid w:val="00347209"/>
    <w:rsid w:val="00350A3E"/>
    <w:rsid w:val="00362972"/>
    <w:rsid w:val="00363E43"/>
    <w:rsid w:val="00370DC2"/>
    <w:rsid w:val="0037254F"/>
    <w:rsid w:val="00376AFF"/>
    <w:rsid w:val="00377D9B"/>
    <w:rsid w:val="003805EA"/>
    <w:rsid w:val="00381A44"/>
    <w:rsid w:val="00382019"/>
    <w:rsid w:val="003873DE"/>
    <w:rsid w:val="003A0A90"/>
    <w:rsid w:val="003B5034"/>
    <w:rsid w:val="003B598F"/>
    <w:rsid w:val="003B7D4B"/>
    <w:rsid w:val="003C073F"/>
    <w:rsid w:val="003C31E3"/>
    <w:rsid w:val="003C6D63"/>
    <w:rsid w:val="003C7300"/>
    <w:rsid w:val="003D73AF"/>
    <w:rsid w:val="003E005F"/>
    <w:rsid w:val="003E46FA"/>
    <w:rsid w:val="003E5212"/>
    <w:rsid w:val="00404991"/>
    <w:rsid w:val="004077D6"/>
    <w:rsid w:val="004144FD"/>
    <w:rsid w:val="00416B6E"/>
    <w:rsid w:val="00421D6E"/>
    <w:rsid w:val="004403B1"/>
    <w:rsid w:val="00451149"/>
    <w:rsid w:val="00453ABF"/>
    <w:rsid w:val="004664E7"/>
    <w:rsid w:val="004669D9"/>
    <w:rsid w:val="004704DC"/>
    <w:rsid w:val="00471F7C"/>
    <w:rsid w:val="00474310"/>
    <w:rsid w:val="004754FE"/>
    <w:rsid w:val="004867AE"/>
    <w:rsid w:val="00490D90"/>
    <w:rsid w:val="004935A7"/>
    <w:rsid w:val="004956C9"/>
    <w:rsid w:val="004965D2"/>
    <w:rsid w:val="0049684F"/>
    <w:rsid w:val="004A28C1"/>
    <w:rsid w:val="004A74AA"/>
    <w:rsid w:val="004B1280"/>
    <w:rsid w:val="004B4A4C"/>
    <w:rsid w:val="004B4FB7"/>
    <w:rsid w:val="004C06CA"/>
    <w:rsid w:val="004C67F0"/>
    <w:rsid w:val="004D5730"/>
    <w:rsid w:val="004E375C"/>
    <w:rsid w:val="004F214D"/>
    <w:rsid w:val="004F2F32"/>
    <w:rsid w:val="004F3EA7"/>
    <w:rsid w:val="004F46EB"/>
    <w:rsid w:val="004F5A0A"/>
    <w:rsid w:val="004F7584"/>
    <w:rsid w:val="00500E4A"/>
    <w:rsid w:val="0050354A"/>
    <w:rsid w:val="0051209F"/>
    <w:rsid w:val="005131A7"/>
    <w:rsid w:val="0051346B"/>
    <w:rsid w:val="0051348E"/>
    <w:rsid w:val="005209EF"/>
    <w:rsid w:val="00526A40"/>
    <w:rsid w:val="005327C6"/>
    <w:rsid w:val="00543D53"/>
    <w:rsid w:val="005459FD"/>
    <w:rsid w:val="00552D54"/>
    <w:rsid w:val="00554235"/>
    <w:rsid w:val="00555075"/>
    <w:rsid w:val="00556EB2"/>
    <w:rsid w:val="00557107"/>
    <w:rsid w:val="00557CA1"/>
    <w:rsid w:val="00561D8F"/>
    <w:rsid w:val="0056335D"/>
    <w:rsid w:val="005644FB"/>
    <w:rsid w:val="0058538E"/>
    <w:rsid w:val="00586C7D"/>
    <w:rsid w:val="00593277"/>
    <w:rsid w:val="005A02D2"/>
    <w:rsid w:val="005A1C89"/>
    <w:rsid w:val="005B0ABA"/>
    <w:rsid w:val="005B27D3"/>
    <w:rsid w:val="005C0CC0"/>
    <w:rsid w:val="005C3FD4"/>
    <w:rsid w:val="005C5464"/>
    <w:rsid w:val="005D0116"/>
    <w:rsid w:val="005D1A9F"/>
    <w:rsid w:val="005D7DEC"/>
    <w:rsid w:val="005E2120"/>
    <w:rsid w:val="005E6F40"/>
    <w:rsid w:val="005F0048"/>
    <w:rsid w:val="005F378E"/>
    <w:rsid w:val="005F3906"/>
    <w:rsid w:val="005F483E"/>
    <w:rsid w:val="00604283"/>
    <w:rsid w:val="00605666"/>
    <w:rsid w:val="00606C07"/>
    <w:rsid w:val="00606CB1"/>
    <w:rsid w:val="00607AD1"/>
    <w:rsid w:val="00610683"/>
    <w:rsid w:val="0061533C"/>
    <w:rsid w:val="006217D9"/>
    <w:rsid w:val="00627DCF"/>
    <w:rsid w:val="00636C38"/>
    <w:rsid w:val="00644127"/>
    <w:rsid w:val="00656DF5"/>
    <w:rsid w:val="00667684"/>
    <w:rsid w:val="00672650"/>
    <w:rsid w:val="0067609D"/>
    <w:rsid w:val="006771C9"/>
    <w:rsid w:val="00677FBC"/>
    <w:rsid w:val="00686F0E"/>
    <w:rsid w:val="006923FC"/>
    <w:rsid w:val="00693EB0"/>
    <w:rsid w:val="00695FF7"/>
    <w:rsid w:val="00696376"/>
    <w:rsid w:val="006A0084"/>
    <w:rsid w:val="006A1729"/>
    <w:rsid w:val="006A2364"/>
    <w:rsid w:val="006A53CB"/>
    <w:rsid w:val="006B113A"/>
    <w:rsid w:val="006B4616"/>
    <w:rsid w:val="006C0D1D"/>
    <w:rsid w:val="006C313F"/>
    <w:rsid w:val="006C6ACD"/>
    <w:rsid w:val="006C71AC"/>
    <w:rsid w:val="006F1CA5"/>
    <w:rsid w:val="006F36CA"/>
    <w:rsid w:val="006F5442"/>
    <w:rsid w:val="00701B66"/>
    <w:rsid w:val="00702E8D"/>
    <w:rsid w:val="00704A5C"/>
    <w:rsid w:val="00706745"/>
    <w:rsid w:val="00711218"/>
    <w:rsid w:val="007112E7"/>
    <w:rsid w:val="00712CEB"/>
    <w:rsid w:val="00713144"/>
    <w:rsid w:val="00714DF3"/>
    <w:rsid w:val="007220F6"/>
    <w:rsid w:val="00723FBD"/>
    <w:rsid w:val="007254CA"/>
    <w:rsid w:val="00727B4A"/>
    <w:rsid w:val="0073732D"/>
    <w:rsid w:val="007424F9"/>
    <w:rsid w:val="007476F5"/>
    <w:rsid w:val="00752053"/>
    <w:rsid w:val="007647F4"/>
    <w:rsid w:val="0076685B"/>
    <w:rsid w:val="007825B4"/>
    <w:rsid w:val="00782A1F"/>
    <w:rsid w:val="00786806"/>
    <w:rsid w:val="007952AB"/>
    <w:rsid w:val="007970CD"/>
    <w:rsid w:val="007A3D8B"/>
    <w:rsid w:val="007B19A3"/>
    <w:rsid w:val="007C040A"/>
    <w:rsid w:val="007C10E3"/>
    <w:rsid w:val="007D43B9"/>
    <w:rsid w:val="007D466F"/>
    <w:rsid w:val="007D6F57"/>
    <w:rsid w:val="007E01C9"/>
    <w:rsid w:val="007E0381"/>
    <w:rsid w:val="007E2C4A"/>
    <w:rsid w:val="007E3B31"/>
    <w:rsid w:val="007E776C"/>
    <w:rsid w:val="007F3BCE"/>
    <w:rsid w:val="007F5BD2"/>
    <w:rsid w:val="007F5E48"/>
    <w:rsid w:val="00804059"/>
    <w:rsid w:val="00807C5A"/>
    <w:rsid w:val="008137FE"/>
    <w:rsid w:val="00814ACB"/>
    <w:rsid w:val="008154E1"/>
    <w:rsid w:val="00815924"/>
    <w:rsid w:val="0082234B"/>
    <w:rsid w:val="008251E1"/>
    <w:rsid w:val="00825A31"/>
    <w:rsid w:val="0082725A"/>
    <w:rsid w:val="00831BA3"/>
    <w:rsid w:val="00836132"/>
    <w:rsid w:val="00836A1A"/>
    <w:rsid w:val="00847A12"/>
    <w:rsid w:val="00856075"/>
    <w:rsid w:val="0085652B"/>
    <w:rsid w:val="00857235"/>
    <w:rsid w:val="00871B58"/>
    <w:rsid w:val="008727A1"/>
    <w:rsid w:val="00874BBD"/>
    <w:rsid w:val="0087661A"/>
    <w:rsid w:val="00880C46"/>
    <w:rsid w:val="00880D47"/>
    <w:rsid w:val="00894C12"/>
    <w:rsid w:val="008A2595"/>
    <w:rsid w:val="008B3EF2"/>
    <w:rsid w:val="008B5CEA"/>
    <w:rsid w:val="008B619C"/>
    <w:rsid w:val="008C2757"/>
    <w:rsid w:val="008D4F32"/>
    <w:rsid w:val="008D52CE"/>
    <w:rsid w:val="008D65CE"/>
    <w:rsid w:val="008F2F52"/>
    <w:rsid w:val="008F5D65"/>
    <w:rsid w:val="00907D39"/>
    <w:rsid w:val="0091448F"/>
    <w:rsid w:val="00932BB0"/>
    <w:rsid w:val="00934ECA"/>
    <w:rsid w:val="00947AAB"/>
    <w:rsid w:val="00950D4F"/>
    <w:rsid w:val="009623DF"/>
    <w:rsid w:val="00966614"/>
    <w:rsid w:val="00973D51"/>
    <w:rsid w:val="00974365"/>
    <w:rsid w:val="009779E5"/>
    <w:rsid w:val="0098086C"/>
    <w:rsid w:val="00983610"/>
    <w:rsid w:val="00986E14"/>
    <w:rsid w:val="00987AD6"/>
    <w:rsid w:val="009903AE"/>
    <w:rsid w:val="009903F8"/>
    <w:rsid w:val="009925FA"/>
    <w:rsid w:val="00992FDC"/>
    <w:rsid w:val="009A06E9"/>
    <w:rsid w:val="009A1EBF"/>
    <w:rsid w:val="009A2E28"/>
    <w:rsid w:val="009A59E9"/>
    <w:rsid w:val="009B0B1D"/>
    <w:rsid w:val="009B3DC4"/>
    <w:rsid w:val="009B3F9F"/>
    <w:rsid w:val="009B6790"/>
    <w:rsid w:val="009C383C"/>
    <w:rsid w:val="009C61D6"/>
    <w:rsid w:val="009C6DEA"/>
    <w:rsid w:val="009D16C7"/>
    <w:rsid w:val="009D1DDE"/>
    <w:rsid w:val="009D21BD"/>
    <w:rsid w:val="009D5145"/>
    <w:rsid w:val="009D76AD"/>
    <w:rsid w:val="009E1910"/>
    <w:rsid w:val="009E5237"/>
    <w:rsid w:val="009F2C77"/>
    <w:rsid w:val="00A00C5C"/>
    <w:rsid w:val="00A01D71"/>
    <w:rsid w:val="00A0328D"/>
    <w:rsid w:val="00A05991"/>
    <w:rsid w:val="00A06C15"/>
    <w:rsid w:val="00A118E4"/>
    <w:rsid w:val="00A15FCE"/>
    <w:rsid w:val="00A17C36"/>
    <w:rsid w:val="00A201ED"/>
    <w:rsid w:val="00A21A61"/>
    <w:rsid w:val="00A23FA1"/>
    <w:rsid w:val="00A2498F"/>
    <w:rsid w:val="00A25FF7"/>
    <w:rsid w:val="00A26D4F"/>
    <w:rsid w:val="00A27D1B"/>
    <w:rsid w:val="00A30455"/>
    <w:rsid w:val="00A3133B"/>
    <w:rsid w:val="00A3344D"/>
    <w:rsid w:val="00A3779E"/>
    <w:rsid w:val="00A42449"/>
    <w:rsid w:val="00A429AD"/>
    <w:rsid w:val="00A42B33"/>
    <w:rsid w:val="00A444FD"/>
    <w:rsid w:val="00A45ABE"/>
    <w:rsid w:val="00A53A2A"/>
    <w:rsid w:val="00A55645"/>
    <w:rsid w:val="00A5764E"/>
    <w:rsid w:val="00A60118"/>
    <w:rsid w:val="00A64A6B"/>
    <w:rsid w:val="00A6547D"/>
    <w:rsid w:val="00A66791"/>
    <w:rsid w:val="00A72D2D"/>
    <w:rsid w:val="00A75AD1"/>
    <w:rsid w:val="00A9307D"/>
    <w:rsid w:val="00A94F8A"/>
    <w:rsid w:val="00AA7F09"/>
    <w:rsid w:val="00AB1DC6"/>
    <w:rsid w:val="00AB39F1"/>
    <w:rsid w:val="00AB5711"/>
    <w:rsid w:val="00AC5B74"/>
    <w:rsid w:val="00AC5FC2"/>
    <w:rsid w:val="00AC6FDA"/>
    <w:rsid w:val="00AD26B8"/>
    <w:rsid w:val="00AD5C0E"/>
    <w:rsid w:val="00AE2C98"/>
    <w:rsid w:val="00AE4B5D"/>
    <w:rsid w:val="00AF5ADB"/>
    <w:rsid w:val="00B00894"/>
    <w:rsid w:val="00B00E78"/>
    <w:rsid w:val="00B0214D"/>
    <w:rsid w:val="00B040CD"/>
    <w:rsid w:val="00B12DC2"/>
    <w:rsid w:val="00B17005"/>
    <w:rsid w:val="00B20859"/>
    <w:rsid w:val="00B23259"/>
    <w:rsid w:val="00B262C3"/>
    <w:rsid w:val="00B274FF"/>
    <w:rsid w:val="00B27EC3"/>
    <w:rsid w:val="00B31EEA"/>
    <w:rsid w:val="00B41FBD"/>
    <w:rsid w:val="00B430CD"/>
    <w:rsid w:val="00B47045"/>
    <w:rsid w:val="00B5022D"/>
    <w:rsid w:val="00B54725"/>
    <w:rsid w:val="00B6014A"/>
    <w:rsid w:val="00B60FC7"/>
    <w:rsid w:val="00B633BE"/>
    <w:rsid w:val="00B635EF"/>
    <w:rsid w:val="00B6619D"/>
    <w:rsid w:val="00B85FB2"/>
    <w:rsid w:val="00B92953"/>
    <w:rsid w:val="00B960A6"/>
    <w:rsid w:val="00BA3717"/>
    <w:rsid w:val="00BA5B71"/>
    <w:rsid w:val="00BB3A82"/>
    <w:rsid w:val="00BB706C"/>
    <w:rsid w:val="00BB78A7"/>
    <w:rsid w:val="00BC1F2D"/>
    <w:rsid w:val="00BC4D05"/>
    <w:rsid w:val="00BD54EC"/>
    <w:rsid w:val="00BE2006"/>
    <w:rsid w:val="00BE3419"/>
    <w:rsid w:val="00BE5D1B"/>
    <w:rsid w:val="00BF5EAA"/>
    <w:rsid w:val="00C0105A"/>
    <w:rsid w:val="00C04B11"/>
    <w:rsid w:val="00C17375"/>
    <w:rsid w:val="00C31591"/>
    <w:rsid w:val="00C3558C"/>
    <w:rsid w:val="00C37EBB"/>
    <w:rsid w:val="00C37ED0"/>
    <w:rsid w:val="00C42EEE"/>
    <w:rsid w:val="00C455D9"/>
    <w:rsid w:val="00C456BB"/>
    <w:rsid w:val="00C5098D"/>
    <w:rsid w:val="00C50F21"/>
    <w:rsid w:val="00C52320"/>
    <w:rsid w:val="00C54775"/>
    <w:rsid w:val="00C55898"/>
    <w:rsid w:val="00C57260"/>
    <w:rsid w:val="00C65F38"/>
    <w:rsid w:val="00C75CD0"/>
    <w:rsid w:val="00C760CA"/>
    <w:rsid w:val="00C827F9"/>
    <w:rsid w:val="00C83E9E"/>
    <w:rsid w:val="00C8714C"/>
    <w:rsid w:val="00C918FA"/>
    <w:rsid w:val="00C91ED3"/>
    <w:rsid w:val="00C940A6"/>
    <w:rsid w:val="00C94C9D"/>
    <w:rsid w:val="00CA207C"/>
    <w:rsid w:val="00CA287D"/>
    <w:rsid w:val="00CA5FE1"/>
    <w:rsid w:val="00CA7943"/>
    <w:rsid w:val="00CB30A9"/>
    <w:rsid w:val="00CC0228"/>
    <w:rsid w:val="00CC2882"/>
    <w:rsid w:val="00CC5C5C"/>
    <w:rsid w:val="00CC7323"/>
    <w:rsid w:val="00CD1C4E"/>
    <w:rsid w:val="00CD607A"/>
    <w:rsid w:val="00CD6FC8"/>
    <w:rsid w:val="00CE1D74"/>
    <w:rsid w:val="00CE34E3"/>
    <w:rsid w:val="00CE3D96"/>
    <w:rsid w:val="00CE5AEB"/>
    <w:rsid w:val="00CF1877"/>
    <w:rsid w:val="00CF1970"/>
    <w:rsid w:val="00CF3BFF"/>
    <w:rsid w:val="00CF6DC1"/>
    <w:rsid w:val="00D00227"/>
    <w:rsid w:val="00D0150E"/>
    <w:rsid w:val="00D02CF5"/>
    <w:rsid w:val="00D056E8"/>
    <w:rsid w:val="00D068C5"/>
    <w:rsid w:val="00D2131F"/>
    <w:rsid w:val="00D233A6"/>
    <w:rsid w:val="00D3204A"/>
    <w:rsid w:val="00D323B7"/>
    <w:rsid w:val="00D35137"/>
    <w:rsid w:val="00D40ECD"/>
    <w:rsid w:val="00D43483"/>
    <w:rsid w:val="00D46A52"/>
    <w:rsid w:val="00D47F66"/>
    <w:rsid w:val="00D55084"/>
    <w:rsid w:val="00D55FA7"/>
    <w:rsid w:val="00D56FD4"/>
    <w:rsid w:val="00D60ABE"/>
    <w:rsid w:val="00D67BFF"/>
    <w:rsid w:val="00D73A2C"/>
    <w:rsid w:val="00D77B26"/>
    <w:rsid w:val="00D815EC"/>
    <w:rsid w:val="00D8435D"/>
    <w:rsid w:val="00D924D2"/>
    <w:rsid w:val="00D939FC"/>
    <w:rsid w:val="00DA3404"/>
    <w:rsid w:val="00DA5831"/>
    <w:rsid w:val="00DA5F01"/>
    <w:rsid w:val="00DB3572"/>
    <w:rsid w:val="00DB637C"/>
    <w:rsid w:val="00DC5871"/>
    <w:rsid w:val="00DC6E9C"/>
    <w:rsid w:val="00DE22D2"/>
    <w:rsid w:val="00DE255A"/>
    <w:rsid w:val="00DE6F4C"/>
    <w:rsid w:val="00DE7D7B"/>
    <w:rsid w:val="00DF3516"/>
    <w:rsid w:val="00E02B70"/>
    <w:rsid w:val="00E03C7D"/>
    <w:rsid w:val="00E07003"/>
    <w:rsid w:val="00E104F3"/>
    <w:rsid w:val="00E12B73"/>
    <w:rsid w:val="00E15482"/>
    <w:rsid w:val="00E35C80"/>
    <w:rsid w:val="00E42339"/>
    <w:rsid w:val="00E42637"/>
    <w:rsid w:val="00E46215"/>
    <w:rsid w:val="00E51E52"/>
    <w:rsid w:val="00E5639F"/>
    <w:rsid w:val="00E56A24"/>
    <w:rsid w:val="00E63674"/>
    <w:rsid w:val="00E650A7"/>
    <w:rsid w:val="00E66A03"/>
    <w:rsid w:val="00E87134"/>
    <w:rsid w:val="00E92AC7"/>
    <w:rsid w:val="00EA014B"/>
    <w:rsid w:val="00EA4AB6"/>
    <w:rsid w:val="00EB1D79"/>
    <w:rsid w:val="00EB72FD"/>
    <w:rsid w:val="00EC3070"/>
    <w:rsid w:val="00EC4C78"/>
    <w:rsid w:val="00ED0737"/>
    <w:rsid w:val="00ED17A7"/>
    <w:rsid w:val="00ED5225"/>
    <w:rsid w:val="00ED74E8"/>
    <w:rsid w:val="00F000E5"/>
    <w:rsid w:val="00F04555"/>
    <w:rsid w:val="00F10DEB"/>
    <w:rsid w:val="00F11C1C"/>
    <w:rsid w:val="00F17FEE"/>
    <w:rsid w:val="00F23C18"/>
    <w:rsid w:val="00F2571B"/>
    <w:rsid w:val="00F304A7"/>
    <w:rsid w:val="00F31E54"/>
    <w:rsid w:val="00F3606B"/>
    <w:rsid w:val="00F36C57"/>
    <w:rsid w:val="00F52C8E"/>
    <w:rsid w:val="00F55284"/>
    <w:rsid w:val="00F57252"/>
    <w:rsid w:val="00F65FDF"/>
    <w:rsid w:val="00F767F1"/>
    <w:rsid w:val="00F77022"/>
    <w:rsid w:val="00F8072F"/>
    <w:rsid w:val="00F8470D"/>
    <w:rsid w:val="00F90E6C"/>
    <w:rsid w:val="00F92D35"/>
    <w:rsid w:val="00FA0E9F"/>
    <w:rsid w:val="00FA3E34"/>
    <w:rsid w:val="00FA68D0"/>
    <w:rsid w:val="00FB0AA5"/>
    <w:rsid w:val="00FB2A8E"/>
    <w:rsid w:val="00FE0ADD"/>
    <w:rsid w:val="00FE5FDC"/>
    <w:rsid w:val="00FE7CA8"/>
    <w:rsid w:val="00FF4C1D"/>
    <w:rsid w:val="00FF71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F005793"/>
  <w14:defaultImageDpi w14:val="300"/>
  <w15:docId w15:val="{EEA00FC4-4B7B-4106-AE6C-21C5004E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9FD"/>
    <w:pPr>
      <w:jc w:val="both"/>
    </w:pPr>
    <w:rPr>
      <w:rFonts w:ascii="Arial" w:hAnsi="Arial" w:cs="Arial"/>
      <w:sz w:val="22"/>
      <w:szCs w:val="22"/>
    </w:rPr>
  </w:style>
  <w:style w:type="paragraph" w:styleId="Titre1">
    <w:name w:val="heading 1"/>
    <w:basedOn w:val="Normal"/>
    <w:next w:val="Normal"/>
    <w:link w:val="Titre1Car"/>
    <w:uiPriority w:val="9"/>
    <w:qFormat/>
    <w:rsid w:val="00A23F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3D73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NSA-Titre1">
    <w:name w:val="CNSA - Titre 1"/>
    <w:basedOn w:val="Titre1"/>
    <w:next w:val="Normal"/>
    <w:uiPriority w:val="14"/>
    <w:qFormat/>
    <w:rsid w:val="00A23FA1"/>
    <w:pPr>
      <w:pBdr>
        <w:top w:val="single" w:sz="4" w:space="0" w:color="EEECE1" w:themeColor="background2"/>
      </w:pBdr>
      <w:suppressAutoHyphens/>
      <w:spacing w:before="500" w:after="200" w:line="340" w:lineRule="exact"/>
    </w:pPr>
    <w:rPr>
      <w:rFonts w:ascii="Arial Black" w:hAnsi="Arial Black"/>
      <w:b w:val="0"/>
      <w:color w:val="FFFFFF" w:themeColor="background1"/>
      <w:sz w:val="24"/>
      <w:szCs w:val="28"/>
      <w:bdr w:val="single" w:sz="12" w:space="0" w:color="EEECE1" w:themeColor="background2"/>
      <w:shd w:val="clear" w:color="auto" w:fill="EEECE1" w:themeFill="background2"/>
    </w:rPr>
  </w:style>
  <w:style w:type="character" w:customStyle="1" w:styleId="Titre1Car">
    <w:name w:val="Titre 1 Car"/>
    <w:basedOn w:val="Policepardfaut"/>
    <w:link w:val="Titre1"/>
    <w:uiPriority w:val="9"/>
    <w:rsid w:val="00A23FA1"/>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C940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40A6"/>
    <w:rPr>
      <w:rFonts w:ascii="Lucida Grande" w:hAnsi="Lucida Grande" w:cs="Lucida Grande"/>
      <w:sz w:val="18"/>
      <w:szCs w:val="18"/>
    </w:rPr>
  </w:style>
  <w:style w:type="paragraph" w:styleId="En-tte">
    <w:name w:val="header"/>
    <w:basedOn w:val="Normal"/>
    <w:link w:val="En-tteCar"/>
    <w:uiPriority w:val="99"/>
    <w:unhideWhenUsed/>
    <w:rsid w:val="00FE7CA8"/>
    <w:pPr>
      <w:tabs>
        <w:tab w:val="center" w:pos="4536"/>
        <w:tab w:val="right" w:pos="9072"/>
      </w:tabs>
    </w:pPr>
  </w:style>
  <w:style w:type="character" w:customStyle="1" w:styleId="En-tteCar">
    <w:name w:val="En-tête Car"/>
    <w:basedOn w:val="Policepardfaut"/>
    <w:link w:val="En-tte"/>
    <w:uiPriority w:val="99"/>
    <w:rsid w:val="00FE7CA8"/>
  </w:style>
  <w:style w:type="paragraph" w:styleId="Pieddepage">
    <w:name w:val="footer"/>
    <w:basedOn w:val="Normal"/>
    <w:link w:val="PieddepageCar"/>
    <w:uiPriority w:val="99"/>
    <w:unhideWhenUsed/>
    <w:rsid w:val="00FE7CA8"/>
    <w:pPr>
      <w:tabs>
        <w:tab w:val="center" w:pos="4536"/>
        <w:tab w:val="right" w:pos="9072"/>
      </w:tabs>
    </w:pPr>
  </w:style>
  <w:style w:type="character" w:customStyle="1" w:styleId="PieddepageCar">
    <w:name w:val="Pied de page Car"/>
    <w:basedOn w:val="Policepardfaut"/>
    <w:link w:val="Pieddepage"/>
    <w:uiPriority w:val="99"/>
    <w:rsid w:val="00FE7CA8"/>
  </w:style>
  <w:style w:type="paragraph" w:customStyle="1" w:styleId="Paragraphestandard">
    <w:name w:val="[Paragraphe standard]"/>
    <w:basedOn w:val="Normal"/>
    <w:uiPriority w:val="99"/>
    <w:rsid w:val="000E0EE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unhideWhenUsed/>
    <w:rsid w:val="002A5C3E"/>
    <w:pPr>
      <w:spacing w:before="100" w:beforeAutospacing="1" w:after="100" w:afterAutospacing="1"/>
    </w:pPr>
    <w:rPr>
      <w:rFonts w:ascii="Times" w:hAnsi="Times" w:cs="Times New Roman"/>
      <w:szCs w:val="20"/>
    </w:rPr>
  </w:style>
  <w:style w:type="paragraph" w:customStyle="1" w:styleId="Titrepagedegarde">
    <w:name w:val="Titre page de garde"/>
    <w:basedOn w:val="Normal"/>
    <w:qFormat/>
    <w:rsid w:val="004956C9"/>
    <w:pPr>
      <w:spacing w:after="400"/>
      <w:ind w:left="851" w:right="851"/>
      <w:contextualSpacing/>
    </w:pPr>
    <w:rPr>
      <w:b/>
      <w:bCs/>
      <w:noProof/>
      <w:sz w:val="44"/>
      <w:szCs w:val="56"/>
    </w:rPr>
  </w:style>
  <w:style w:type="paragraph" w:customStyle="1" w:styleId="Soustitre">
    <w:name w:val="Sous titre"/>
    <w:basedOn w:val="Normal"/>
    <w:qFormat/>
    <w:rsid w:val="006C71AC"/>
    <w:pPr>
      <w:spacing w:after="600"/>
      <w:ind w:left="851" w:right="851"/>
      <w:contextualSpacing/>
    </w:pPr>
    <w:rPr>
      <w:sz w:val="30"/>
      <w:szCs w:val="28"/>
      <w:lang w:val="uz-Cyrl-UZ"/>
    </w:rPr>
  </w:style>
  <w:style w:type="paragraph" w:customStyle="1" w:styleId="Puce">
    <w:name w:val="Puce"/>
    <w:basedOn w:val="Normal"/>
    <w:qFormat/>
    <w:rsid w:val="006C71AC"/>
    <w:pPr>
      <w:numPr>
        <w:numId w:val="11"/>
      </w:numPr>
      <w:spacing w:after="140" w:line="360" w:lineRule="auto"/>
    </w:pPr>
    <w:rPr>
      <w:szCs w:val="20"/>
      <w:lang w:val="uz-Cyrl-UZ"/>
    </w:rPr>
  </w:style>
  <w:style w:type="paragraph" w:customStyle="1" w:styleId="Infobasdepage">
    <w:name w:val="Info bas de page"/>
    <w:basedOn w:val="Paragraphestandard"/>
    <w:qFormat/>
    <w:rsid w:val="009F2C77"/>
    <w:pPr>
      <w:ind w:left="1418"/>
    </w:pPr>
    <w:rPr>
      <w:rFonts w:ascii="Arial" w:hAnsi="Arial" w:cs="Arial"/>
      <w:sz w:val="12"/>
      <w:szCs w:val="12"/>
    </w:rPr>
  </w:style>
  <w:style w:type="paragraph" w:styleId="Notedebasdepage">
    <w:name w:val="footnote text"/>
    <w:basedOn w:val="Normal"/>
    <w:link w:val="NotedebasdepageCar"/>
    <w:uiPriority w:val="99"/>
    <w:unhideWhenUsed/>
    <w:rsid w:val="009F2C77"/>
    <w:rPr>
      <w:sz w:val="24"/>
    </w:rPr>
  </w:style>
  <w:style w:type="character" w:customStyle="1" w:styleId="NotedebasdepageCar">
    <w:name w:val="Note de bas de page Car"/>
    <w:basedOn w:val="Policepardfaut"/>
    <w:link w:val="Notedebasdepage"/>
    <w:uiPriority w:val="99"/>
    <w:rsid w:val="009F2C77"/>
    <w:rPr>
      <w:rFonts w:ascii="Arial" w:hAnsi="Arial"/>
    </w:rPr>
  </w:style>
  <w:style w:type="character" w:styleId="Appelnotedebasdep">
    <w:name w:val="footnote reference"/>
    <w:basedOn w:val="Policepardfaut"/>
    <w:uiPriority w:val="99"/>
    <w:unhideWhenUsed/>
    <w:rsid w:val="009F2C77"/>
    <w:rPr>
      <w:vertAlign w:val="superscript"/>
    </w:rPr>
  </w:style>
  <w:style w:type="paragraph" w:customStyle="1" w:styleId="Titredirection">
    <w:name w:val="Titre direction"/>
    <w:basedOn w:val="Soustitre"/>
    <w:qFormat/>
    <w:rsid w:val="004F7584"/>
    <w:pPr>
      <w:spacing w:after="120"/>
    </w:pPr>
    <w:rPr>
      <w:bCs/>
      <w:color w:val="5AAB45"/>
      <w:szCs w:val="30"/>
    </w:rPr>
  </w:style>
  <w:style w:type="character" w:styleId="Lienhypertexte">
    <w:name w:val="Hyperlink"/>
    <w:basedOn w:val="Policepardfaut"/>
    <w:uiPriority w:val="99"/>
    <w:unhideWhenUsed/>
    <w:rsid w:val="007F3BCE"/>
    <w:rPr>
      <w:color w:val="0000FF" w:themeColor="hyperlink"/>
      <w:u w:val="single"/>
    </w:rPr>
  </w:style>
  <w:style w:type="paragraph" w:customStyle="1" w:styleId="Default">
    <w:name w:val="Default"/>
    <w:rsid w:val="00BA5B71"/>
    <w:pPr>
      <w:autoSpaceDE w:val="0"/>
      <w:autoSpaceDN w:val="0"/>
      <w:adjustRightInd w:val="0"/>
    </w:pPr>
    <w:rPr>
      <w:rFonts w:ascii="Arial" w:hAnsi="Arial" w:cs="Arial"/>
      <w:color w:val="000000"/>
    </w:rPr>
  </w:style>
  <w:style w:type="paragraph" w:styleId="Paragraphedeliste">
    <w:name w:val="List Paragraph"/>
    <w:basedOn w:val="Normal"/>
    <w:uiPriority w:val="34"/>
    <w:qFormat/>
    <w:rsid w:val="007825B4"/>
    <w:pPr>
      <w:ind w:left="720"/>
      <w:contextualSpacing/>
    </w:pPr>
  </w:style>
  <w:style w:type="paragraph" w:styleId="Rvision">
    <w:name w:val="Revision"/>
    <w:hidden/>
    <w:uiPriority w:val="99"/>
    <w:semiHidden/>
    <w:rsid w:val="006C6ACD"/>
    <w:rPr>
      <w:rFonts w:ascii="Arial" w:hAnsi="Arial"/>
      <w:sz w:val="20"/>
    </w:rPr>
  </w:style>
  <w:style w:type="character" w:styleId="Marquedecommentaire">
    <w:name w:val="annotation reference"/>
    <w:basedOn w:val="Policepardfaut"/>
    <w:uiPriority w:val="99"/>
    <w:semiHidden/>
    <w:unhideWhenUsed/>
    <w:rsid w:val="000A65D1"/>
    <w:rPr>
      <w:sz w:val="16"/>
      <w:szCs w:val="16"/>
    </w:rPr>
  </w:style>
  <w:style w:type="paragraph" w:styleId="Commentaire">
    <w:name w:val="annotation text"/>
    <w:basedOn w:val="Normal"/>
    <w:link w:val="CommentaireCar"/>
    <w:uiPriority w:val="99"/>
    <w:unhideWhenUsed/>
    <w:rsid w:val="000A65D1"/>
    <w:rPr>
      <w:szCs w:val="20"/>
    </w:rPr>
  </w:style>
  <w:style w:type="character" w:customStyle="1" w:styleId="CommentaireCar">
    <w:name w:val="Commentaire Car"/>
    <w:basedOn w:val="Policepardfaut"/>
    <w:link w:val="Commentaire"/>
    <w:uiPriority w:val="99"/>
    <w:rsid w:val="000A65D1"/>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0A65D1"/>
    <w:rPr>
      <w:b/>
      <w:bCs/>
    </w:rPr>
  </w:style>
  <w:style w:type="character" w:customStyle="1" w:styleId="ObjetducommentaireCar">
    <w:name w:val="Objet du commentaire Car"/>
    <w:basedOn w:val="CommentaireCar"/>
    <w:link w:val="Objetducommentaire"/>
    <w:uiPriority w:val="99"/>
    <w:semiHidden/>
    <w:rsid w:val="000A65D1"/>
    <w:rPr>
      <w:rFonts w:ascii="Arial" w:hAnsi="Arial"/>
      <w:b/>
      <w:bCs/>
      <w:sz w:val="20"/>
      <w:szCs w:val="20"/>
    </w:rPr>
  </w:style>
  <w:style w:type="character" w:customStyle="1" w:styleId="Titre2Car">
    <w:name w:val="Titre 2 Car"/>
    <w:basedOn w:val="Policepardfaut"/>
    <w:link w:val="Titre2"/>
    <w:uiPriority w:val="9"/>
    <w:semiHidden/>
    <w:rsid w:val="003D73A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5873">
      <w:bodyDiv w:val="1"/>
      <w:marLeft w:val="0"/>
      <w:marRight w:val="0"/>
      <w:marTop w:val="0"/>
      <w:marBottom w:val="0"/>
      <w:divBdr>
        <w:top w:val="none" w:sz="0" w:space="0" w:color="auto"/>
        <w:left w:val="none" w:sz="0" w:space="0" w:color="auto"/>
        <w:bottom w:val="none" w:sz="0" w:space="0" w:color="auto"/>
        <w:right w:val="none" w:sz="0" w:space="0" w:color="auto"/>
      </w:divBdr>
    </w:div>
    <w:div w:id="469791133">
      <w:bodyDiv w:val="1"/>
      <w:marLeft w:val="0"/>
      <w:marRight w:val="0"/>
      <w:marTop w:val="0"/>
      <w:marBottom w:val="0"/>
      <w:divBdr>
        <w:top w:val="none" w:sz="0" w:space="0" w:color="auto"/>
        <w:left w:val="none" w:sz="0" w:space="0" w:color="auto"/>
        <w:bottom w:val="none" w:sz="0" w:space="0" w:color="auto"/>
        <w:right w:val="none" w:sz="0" w:space="0" w:color="auto"/>
      </w:divBdr>
      <w:divsChild>
        <w:div w:id="383603962">
          <w:marLeft w:val="0"/>
          <w:marRight w:val="0"/>
          <w:marTop w:val="0"/>
          <w:marBottom w:val="0"/>
          <w:divBdr>
            <w:top w:val="none" w:sz="0" w:space="0" w:color="auto"/>
            <w:left w:val="none" w:sz="0" w:space="0" w:color="auto"/>
            <w:bottom w:val="none" w:sz="0" w:space="0" w:color="auto"/>
            <w:right w:val="none" w:sz="0" w:space="0" w:color="auto"/>
          </w:divBdr>
        </w:div>
      </w:divsChild>
    </w:div>
    <w:div w:id="781652584">
      <w:bodyDiv w:val="1"/>
      <w:marLeft w:val="0"/>
      <w:marRight w:val="0"/>
      <w:marTop w:val="0"/>
      <w:marBottom w:val="0"/>
      <w:divBdr>
        <w:top w:val="none" w:sz="0" w:space="0" w:color="auto"/>
        <w:left w:val="none" w:sz="0" w:space="0" w:color="auto"/>
        <w:bottom w:val="none" w:sz="0" w:space="0" w:color="auto"/>
        <w:right w:val="none" w:sz="0" w:space="0" w:color="auto"/>
      </w:divBdr>
      <w:divsChild>
        <w:div w:id="1644576520">
          <w:marLeft w:val="0"/>
          <w:marRight w:val="0"/>
          <w:marTop w:val="0"/>
          <w:marBottom w:val="0"/>
          <w:divBdr>
            <w:top w:val="none" w:sz="0" w:space="0" w:color="auto"/>
            <w:left w:val="none" w:sz="0" w:space="0" w:color="auto"/>
            <w:bottom w:val="none" w:sz="0" w:space="0" w:color="auto"/>
            <w:right w:val="none" w:sz="0" w:space="0" w:color="auto"/>
          </w:divBdr>
        </w:div>
      </w:divsChild>
    </w:div>
    <w:div w:id="815103363">
      <w:bodyDiv w:val="1"/>
      <w:marLeft w:val="0"/>
      <w:marRight w:val="0"/>
      <w:marTop w:val="0"/>
      <w:marBottom w:val="0"/>
      <w:divBdr>
        <w:top w:val="none" w:sz="0" w:space="0" w:color="auto"/>
        <w:left w:val="none" w:sz="0" w:space="0" w:color="auto"/>
        <w:bottom w:val="none" w:sz="0" w:space="0" w:color="auto"/>
        <w:right w:val="none" w:sz="0" w:space="0" w:color="auto"/>
      </w:divBdr>
    </w:div>
    <w:div w:id="1079904239">
      <w:bodyDiv w:val="1"/>
      <w:marLeft w:val="0"/>
      <w:marRight w:val="0"/>
      <w:marTop w:val="0"/>
      <w:marBottom w:val="0"/>
      <w:divBdr>
        <w:top w:val="none" w:sz="0" w:space="0" w:color="auto"/>
        <w:left w:val="none" w:sz="0" w:space="0" w:color="auto"/>
        <w:bottom w:val="none" w:sz="0" w:space="0" w:color="auto"/>
        <w:right w:val="none" w:sz="0" w:space="0" w:color="auto"/>
      </w:divBdr>
      <w:divsChild>
        <w:div w:id="748426493">
          <w:marLeft w:val="0"/>
          <w:marRight w:val="0"/>
          <w:marTop w:val="0"/>
          <w:marBottom w:val="0"/>
          <w:divBdr>
            <w:top w:val="none" w:sz="0" w:space="0" w:color="auto"/>
            <w:left w:val="none" w:sz="0" w:space="0" w:color="auto"/>
            <w:bottom w:val="none" w:sz="0" w:space="0" w:color="auto"/>
            <w:right w:val="none" w:sz="0" w:space="0" w:color="auto"/>
          </w:divBdr>
        </w:div>
      </w:divsChild>
    </w:div>
    <w:div w:id="1692686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BA39E891DF614DA84752A645C23908" ma:contentTypeVersion="3" ma:contentTypeDescription="Crée un document." ma:contentTypeScope="" ma:versionID="8f30d552cd618df2e5f68f8e5681c6e0">
  <xsd:schema xmlns:xsd="http://www.w3.org/2001/XMLSchema" xmlns:xs="http://www.w3.org/2001/XMLSchema" xmlns:p="http://schemas.microsoft.com/office/2006/metadata/properties" xmlns:ns1="http://schemas.microsoft.com/sharepoint/v3" xmlns:ns2="68504be4-6530-4b44-9461-877b72004c09" targetNamespace="http://schemas.microsoft.com/office/2006/metadata/properties" ma:root="true" ma:fieldsID="1e960aebde09f7a99b908aa2d0aaad51" ns1:_="" ns2:_="">
    <xsd:import namespace="http://schemas.microsoft.com/sharepoint/v3"/>
    <xsd:import namespace="68504be4-6530-4b44-9461-877b72004c0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04be4-6530-4b44-9461-877b72004c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CE3D3-4BAF-41F7-B530-23B92022EF89}">
  <ds:schemaRefs>
    <ds:schemaRef ds:uri="http://schemas.microsoft.com/sharepoint/v3/contenttype/forms"/>
  </ds:schemaRefs>
</ds:datastoreItem>
</file>

<file path=customXml/itemProps2.xml><?xml version="1.0" encoding="utf-8"?>
<ds:datastoreItem xmlns:ds="http://schemas.openxmlformats.org/officeDocument/2006/customXml" ds:itemID="{5924071F-45FD-4985-99A7-749FA538A5CD}">
  <ds:schemaRefs>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68504be4-6530-4b44-9461-877b72004c09"/>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3F5ED2AA-046E-4D7F-A369-D8CFC723D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504be4-6530-4b44-9461-877b72004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FC881-1801-4E7F-9771-83407B46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1965</Words>
  <Characters>10811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CNSA</dc:creator>
  <cp:lastModifiedBy>LEBRUN Cyrille</cp:lastModifiedBy>
  <cp:revision>6</cp:revision>
  <cp:lastPrinted>2023-10-06T14:27:00Z</cp:lastPrinted>
  <dcterms:created xsi:type="dcterms:W3CDTF">2023-10-05T09:14:00Z</dcterms:created>
  <dcterms:modified xsi:type="dcterms:W3CDTF">2023-10-06T14:38:00Z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0x01010044BA39E891DF614DA84752A645C23908</vt:lpwstr>
  </property>
</Properties>
</file>